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58" w:rsidRPr="001D24B1" w:rsidRDefault="00322B58" w:rsidP="001D24B1">
      <w:pPr>
        <w:shd w:val="clear" w:color="auto" w:fill="FFFFFF"/>
        <w:autoSpaceDE w:val="0"/>
        <w:autoSpaceDN w:val="0"/>
        <w:adjustRightInd w:val="0"/>
        <w:ind w:firstLine="709"/>
        <w:jc w:val="center"/>
        <w:rPr>
          <w:rFonts w:ascii="Times New Roman" w:hAnsi="Times New Roman"/>
          <w:b/>
          <w:sz w:val="24"/>
          <w:szCs w:val="24"/>
          <w:lang w:val="uk-UA"/>
        </w:rPr>
      </w:pPr>
      <w:r w:rsidRPr="001D24B1">
        <w:rPr>
          <w:rFonts w:ascii="Times New Roman" w:hAnsi="Times New Roman"/>
          <w:b/>
          <w:color w:val="000000"/>
          <w:sz w:val="24"/>
          <w:szCs w:val="24"/>
          <w:lang w:val="uk-UA"/>
        </w:rPr>
        <w:t>ПОЯСНЮВАЛЬНА ЗАПИСКА</w:t>
      </w:r>
    </w:p>
    <w:p w:rsidR="00322B58" w:rsidRPr="001D24B1" w:rsidRDefault="00322B58" w:rsidP="00CC252D">
      <w:pPr>
        <w:shd w:val="clear" w:color="auto" w:fill="FFFFFF"/>
        <w:autoSpaceDE w:val="0"/>
        <w:autoSpaceDN w:val="0"/>
        <w:adjustRightInd w:val="0"/>
        <w:spacing w:after="0"/>
        <w:ind w:firstLine="709"/>
        <w:jc w:val="center"/>
        <w:rPr>
          <w:rFonts w:ascii="Times New Roman" w:hAnsi="Times New Roman"/>
          <w:color w:val="000000"/>
          <w:sz w:val="24"/>
          <w:szCs w:val="24"/>
          <w:lang w:val="uk-UA"/>
        </w:rPr>
      </w:pPr>
      <w:r w:rsidRPr="001D24B1">
        <w:rPr>
          <w:rFonts w:ascii="Times New Roman" w:hAnsi="Times New Roman"/>
          <w:b/>
          <w:bCs/>
          <w:color w:val="000000"/>
          <w:sz w:val="24"/>
          <w:szCs w:val="24"/>
          <w:lang w:val="uk-UA"/>
        </w:rPr>
        <w:t xml:space="preserve">до рішення Буцької селищної ради від 12.01.2018 </w:t>
      </w:r>
      <w:r w:rsidRPr="001D24B1">
        <w:rPr>
          <w:rFonts w:ascii="Times New Roman" w:hAnsi="Times New Roman"/>
          <w:b/>
          <w:color w:val="000000"/>
          <w:sz w:val="24"/>
          <w:szCs w:val="24"/>
          <w:lang w:val="uk-UA"/>
        </w:rPr>
        <w:t>№ 2-4/\/ІI</w:t>
      </w:r>
    </w:p>
    <w:p w:rsidR="00322B58" w:rsidRPr="001D24B1" w:rsidRDefault="00322B58" w:rsidP="001D24B1">
      <w:pPr>
        <w:shd w:val="clear" w:color="auto" w:fill="FFFFFF"/>
        <w:autoSpaceDE w:val="0"/>
        <w:autoSpaceDN w:val="0"/>
        <w:adjustRightInd w:val="0"/>
        <w:ind w:firstLine="709"/>
        <w:jc w:val="center"/>
        <w:rPr>
          <w:rFonts w:ascii="Times New Roman" w:hAnsi="Times New Roman"/>
          <w:sz w:val="24"/>
          <w:szCs w:val="24"/>
          <w:lang w:val="uk-UA"/>
        </w:rPr>
      </w:pPr>
      <w:r w:rsidRPr="001D24B1">
        <w:rPr>
          <w:rFonts w:ascii="Times New Roman" w:hAnsi="Times New Roman"/>
          <w:b/>
          <w:bCs/>
          <w:color w:val="000000"/>
          <w:sz w:val="24"/>
          <w:szCs w:val="24"/>
          <w:lang w:val="uk-UA"/>
        </w:rPr>
        <w:t>"Про бюджет об'єднаної територіальної громади на 2018 рік"</w:t>
      </w:r>
    </w:p>
    <w:p w:rsidR="00322B58" w:rsidRPr="001D24B1" w:rsidRDefault="00322B58" w:rsidP="001D24B1">
      <w:p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ab/>
        <w:t>Формування об’єднаної територіальної  громади згідно Закону України «Про місцеве самоврядування в Україні» здійснюється згідно вимогам Бюджетного кодексу України та Закону України «Про Державний бюджет України на 2018 рік», інших програмних документів, що визначають бюджетну політику у поточному році, прогнозних макропоказників економічного і соціального розвитку України на 2018 – 2020 роки, затверджених постановою Кабінету Міністрів України від 31.05.2017 №411( в редакції постанови Кабінету Міністрів України від 01.12.2017 № 906.</w:t>
      </w:r>
    </w:p>
    <w:p w:rsidR="00322B58" w:rsidRPr="001D24B1" w:rsidRDefault="00322B58" w:rsidP="001D24B1">
      <w:p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       Згідно з вимогами статті 20 та пункту 18 розділу IV «Прикінцеві та перехідні положення» Бюджетного кодексу України при формуванні бюджету застосовано програмно-цільовий метод бюджетування.</w:t>
      </w:r>
    </w:p>
    <w:p w:rsidR="00322B58" w:rsidRPr="001D24B1" w:rsidRDefault="00322B58" w:rsidP="001D24B1">
      <w:p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       При складанні розрахунків враховано такі особливості, що надіслані Міністерством фінансів України відповідно до статті 75 Бюджетного кодексу України:</w:t>
      </w:r>
    </w:p>
    <w:p w:rsidR="00322B58" w:rsidRPr="001D24B1" w:rsidRDefault="00322B58" w:rsidP="001D24B1">
      <w:pPr>
        <w:pStyle w:val="ListParagraph"/>
        <w:numPr>
          <w:ilvl w:val="0"/>
          <w:numId w:val="8"/>
        </w:num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макропоказники економічного і соціального розвитку України на 2018–2020 роки, схвалені постановою Кабінету Міністрів України від 31.05.2017 № 411:</w:t>
      </w:r>
    </w:p>
    <w:p w:rsidR="00322B58" w:rsidRPr="001D24B1" w:rsidRDefault="00322B58" w:rsidP="001D24B1">
      <w:pPr>
        <w:pStyle w:val="ListParagraph"/>
        <w:numPr>
          <w:ilvl w:val="0"/>
          <w:numId w:val="9"/>
        </w:numPr>
        <w:tabs>
          <w:tab w:val="left" w:pos="855"/>
          <w:tab w:val="center" w:pos="4677"/>
        </w:tabs>
        <w:spacing w:after="0"/>
        <w:ind w:left="709" w:firstLine="11"/>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встановлення мінімальної заробітної плати з 1 січня 2018 року у розмірі 3 723 грн. на місяць та посадового окладу працівника І тарифного розряду ЄТС - 1762 грн.; </w:t>
      </w:r>
    </w:p>
    <w:p w:rsidR="00322B58" w:rsidRPr="001D24B1" w:rsidRDefault="00322B58" w:rsidP="001D24B1">
      <w:pPr>
        <w:pStyle w:val="ListParagraph"/>
        <w:numPr>
          <w:ilvl w:val="0"/>
          <w:numId w:val="9"/>
        </w:numPr>
        <w:tabs>
          <w:tab w:val="left" w:pos="855"/>
          <w:tab w:val="center" w:pos="4677"/>
        </w:tabs>
        <w:spacing w:after="0"/>
        <w:ind w:left="709" w:firstLine="11"/>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встановлення прожиткового мінімуму на одну працездатну особу в розрахунку на місяць у розмірі з 1 січня 2017 року – 1762 грн., з 1 липня  – 1 841 грн., з 1 грудня – 1 921 грн.;</w:t>
      </w:r>
    </w:p>
    <w:p w:rsidR="00322B58" w:rsidRPr="001D24B1" w:rsidRDefault="00322B58" w:rsidP="001D24B1">
      <w:pPr>
        <w:pStyle w:val="ListParagraph"/>
        <w:numPr>
          <w:ilvl w:val="0"/>
          <w:numId w:val="8"/>
        </w:num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збереження протягом 2018–2019 років норми щодо зарахування 13,44% акцизного податку з пального до місцевих бюджетів;</w:t>
      </w:r>
    </w:p>
    <w:p w:rsidR="00322B58" w:rsidRPr="001D24B1" w:rsidRDefault="00322B58" w:rsidP="001D24B1">
      <w:pPr>
        <w:pStyle w:val="ListParagraph"/>
        <w:numPr>
          <w:ilvl w:val="0"/>
          <w:numId w:val="8"/>
        </w:num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зарахування до місцевих бюджетів 100 відсотків єдиного податку, що сплачується платниками єдиного податку четвертої групи (сільгосптоваровиробники);</w:t>
      </w:r>
    </w:p>
    <w:p w:rsidR="00322B58" w:rsidRPr="001D24B1" w:rsidRDefault="00322B58" w:rsidP="001D24B1">
      <w:pPr>
        <w:pStyle w:val="ListParagraph"/>
        <w:numPr>
          <w:ilvl w:val="0"/>
          <w:numId w:val="8"/>
        </w:num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зміни в ціновій політиці щодо енергоносіїв;</w:t>
      </w:r>
    </w:p>
    <w:p w:rsidR="00322B58" w:rsidRPr="001D24B1" w:rsidRDefault="00322B58" w:rsidP="001D24B1">
      <w:pPr>
        <w:pStyle w:val="ListParagraph"/>
        <w:numPr>
          <w:ilvl w:val="0"/>
          <w:numId w:val="8"/>
        </w:num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покращення умов оплати праці педагогічних працівників шкіл;</w:t>
      </w:r>
    </w:p>
    <w:p w:rsidR="00322B58" w:rsidRPr="001D24B1" w:rsidRDefault="00322B58" w:rsidP="001D24B1">
      <w:pPr>
        <w:pStyle w:val="ListParagraph"/>
        <w:numPr>
          <w:ilvl w:val="0"/>
          <w:numId w:val="8"/>
        </w:numPr>
        <w:tabs>
          <w:tab w:val="left" w:pos="855"/>
          <w:tab w:val="center" w:pos="4677"/>
        </w:tabs>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інші зміни до законодавства, що впливають на показники місцевих бюджетів та міжбюджетних трансфертів.</w:t>
      </w:r>
    </w:p>
    <w:p w:rsidR="00322B58" w:rsidRPr="001D24B1" w:rsidRDefault="00322B58" w:rsidP="008F15BB">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Наповнення місцевого бюджету відбувається за рахунок надходжень коштів до загального та спеціального фондів місцевого бюджету.</w:t>
      </w:r>
    </w:p>
    <w:p w:rsidR="00322B58" w:rsidRPr="001D24B1" w:rsidRDefault="00322B58" w:rsidP="00C43EE6">
      <w:pPr>
        <w:shd w:val="clear" w:color="auto" w:fill="FFFFFF"/>
        <w:autoSpaceDE w:val="0"/>
        <w:autoSpaceDN w:val="0"/>
        <w:adjustRightInd w:val="0"/>
        <w:spacing w:before="240"/>
        <w:jc w:val="center"/>
        <w:rPr>
          <w:rFonts w:ascii="Times New Roman" w:hAnsi="Times New Roman"/>
          <w:b/>
          <w:color w:val="000000"/>
          <w:sz w:val="24"/>
          <w:szCs w:val="24"/>
          <w:lang w:val="uk-UA"/>
        </w:rPr>
      </w:pPr>
      <w:r>
        <w:rPr>
          <w:rFonts w:ascii="Times New Roman" w:hAnsi="Times New Roman"/>
          <w:b/>
          <w:color w:val="000000"/>
          <w:sz w:val="24"/>
          <w:szCs w:val="24"/>
          <w:lang w:val="uk-UA"/>
        </w:rPr>
        <w:t>С</w:t>
      </w:r>
      <w:r w:rsidRPr="001D24B1">
        <w:rPr>
          <w:rFonts w:ascii="Times New Roman" w:hAnsi="Times New Roman"/>
          <w:b/>
          <w:color w:val="000000"/>
          <w:sz w:val="24"/>
          <w:szCs w:val="24"/>
          <w:lang w:val="uk-UA"/>
        </w:rPr>
        <w:t xml:space="preserve">оціально-економічний стан об'єднаної територіальної громади </w:t>
      </w:r>
      <w:r>
        <w:rPr>
          <w:rFonts w:ascii="Times New Roman" w:hAnsi="Times New Roman"/>
          <w:b/>
          <w:color w:val="000000"/>
          <w:sz w:val="24"/>
          <w:szCs w:val="24"/>
          <w:lang w:val="uk-UA"/>
        </w:rPr>
        <w:t>у 2017-</w:t>
      </w:r>
      <w:r w:rsidRPr="001D24B1">
        <w:rPr>
          <w:rFonts w:ascii="Times New Roman" w:hAnsi="Times New Roman"/>
          <w:b/>
          <w:color w:val="000000"/>
          <w:sz w:val="24"/>
          <w:szCs w:val="24"/>
          <w:lang w:val="uk-UA"/>
        </w:rPr>
        <w:t xml:space="preserve"> 2018 р</w:t>
      </w:r>
      <w:r>
        <w:rPr>
          <w:rFonts w:ascii="Times New Roman" w:hAnsi="Times New Roman"/>
          <w:b/>
          <w:color w:val="000000"/>
          <w:sz w:val="24"/>
          <w:szCs w:val="24"/>
          <w:lang w:val="uk-UA"/>
        </w:rPr>
        <w:t>оках</w:t>
      </w:r>
      <w:bookmarkStart w:id="0" w:name="_GoBack"/>
      <w:bookmarkEnd w:id="0"/>
    </w:p>
    <w:p w:rsidR="00322B58" w:rsidRPr="001D24B1" w:rsidRDefault="00322B58" w:rsidP="00854AFF">
      <w:pPr>
        <w:widowControl w:val="0"/>
        <w:autoSpaceDE w:val="0"/>
        <w:autoSpaceDN w:val="0"/>
        <w:adjustRightInd w:val="0"/>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На території об’єднаної громади станом на 01.01.2018 року господарську діяльність здійснюватимуть 51 суб’єкти малого підприємництва. Основні види діяльності: роздрібна торгівля, транспортні послуги, побутове обслуговування населення, вирощування сільськогосподарських культур. Останнім часом в селі відроджується галузь громадського харчування. На території села будуть здійснювати свою діяльність такі промислові підприємства та сільськогосподарські фермерські господарства: ТОВ «Багва», ТОВ «Ранкова зоря», ТОВ «Кищенці», ТОВ «Лисакове» , ПП «Перлина Тікича», ПП «Іжко», ДП «Уманське лісове господарство», СФГ «Пащенко», СФГ «Вершина», СФГ «Вершина1», СФГ «Вершина2», СФГ «Світлана», СФГ «Березинське», СФГ «Благополуччя»,  ФГ «Рось», ФГ «Мрія», ФГ «Бондаренко», ФГ «Бойко», ФГ «Святий Володимир», ФГ «Кути», ФГ  «Татуревич»,  ФГ «Кухар», ФОП «ПочинокВ.О.», ПП «Влад» ОмельченкоА.В., ПП Майборода В.І., ПП Безух О.М., ПП Коновал В.Л., СФГ «Вікторія», СФГ « Жмуд В. Д.»    </w:t>
      </w:r>
    </w:p>
    <w:p w:rsidR="00322B58" w:rsidRPr="001D24B1" w:rsidRDefault="00322B58" w:rsidP="00854AFF">
      <w:pPr>
        <w:widowControl w:val="0"/>
        <w:autoSpaceDE w:val="0"/>
        <w:autoSpaceDN w:val="0"/>
        <w:adjustRightInd w:val="0"/>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 </w:t>
      </w:r>
      <w:r w:rsidRPr="001D24B1">
        <w:rPr>
          <w:rFonts w:ascii="Times New Roman" w:hAnsi="Times New Roman"/>
          <w:color w:val="000000"/>
          <w:sz w:val="24"/>
          <w:szCs w:val="24"/>
          <w:lang w:val="uk-UA"/>
        </w:rPr>
        <w:tab/>
        <w:t xml:space="preserve">Сільськогосподарські фермерські господарства орендують земельні частки паї  та землі запасу і резерву, землі природоохоронного призначення, не витребувані паї. </w:t>
      </w:r>
    </w:p>
    <w:p w:rsidR="00322B58" w:rsidRPr="001D24B1" w:rsidRDefault="00322B58" w:rsidP="00854AFF">
      <w:pPr>
        <w:widowControl w:val="0"/>
        <w:autoSpaceDE w:val="0"/>
        <w:autoSpaceDN w:val="0"/>
        <w:adjustRightInd w:val="0"/>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Розвинена мережа роздрібної торгівлі промисловими товарами, лікарським препаратами, продуктами харчування. На території сіл  об’єднаної громади відкрито і будуть здійснювати діяльність: роздрібна торгівля  15 торгівельних точок, газова заправочна станція 1 точка, атозаправочна станція пальним 1 точка, аптека 2 точки, аптечний кіоск 1точка,  кафе 2точки.</w:t>
      </w:r>
    </w:p>
    <w:p w:rsidR="00322B58" w:rsidRPr="001D24B1" w:rsidRDefault="00322B58" w:rsidP="009510C8">
      <w:pPr>
        <w:shd w:val="clear" w:color="auto" w:fill="FFFFFF"/>
        <w:autoSpaceDE w:val="0"/>
        <w:autoSpaceDN w:val="0"/>
        <w:adjustRightInd w:val="0"/>
        <w:spacing w:before="24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Прогноз доходів об’єднаної територіальної  громади на 2018 рік</w:t>
      </w:r>
    </w:p>
    <w:p w:rsidR="00322B58" w:rsidRPr="001D24B1" w:rsidRDefault="00322B58" w:rsidP="000F21AC">
      <w:pPr>
        <w:pStyle w:val="a"/>
        <w:ind w:firstLine="720"/>
        <w:jc w:val="both"/>
        <w:rPr>
          <w:rFonts w:ascii="Times New Roman" w:hAnsi="Times New Roman" w:cs="Times New Roman"/>
          <w:color w:val="000000"/>
          <w:sz w:val="24"/>
          <w:szCs w:val="24"/>
          <w:lang w:val="uk-UA"/>
        </w:rPr>
      </w:pPr>
      <w:r w:rsidRPr="001D24B1">
        <w:rPr>
          <w:rFonts w:ascii="Times New Roman" w:hAnsi="Times New Roman" w:cs="Times New Roman"/>
          <w:color w:val="000000"/>
          <w:sz w:val="24"/>
          <w:szCs w:val="24"/>
          <w:lang w:val="uk-UA"/>
        </w:rPr>
        <w:t>До складу джерел доходів об’єднаної територіальної  громади у 2018 році будуть зараховуватися податки і збори, передбачені статтями 64, 69</w:t>
      </w:r>
      <w:r w:rsidRPr="001D24B1">
        <w:rPr>
          <w:rFonts w:ascii="Times New Roman" w:hAnsi="Times New Roman" w:cs="Times New Roman"/>
          <w:color w:val="000000"/>
          <w:sz w:val="24"/>
          <w:szCs w:val="24"/>
          <w:vertAlign w:val="superscript"/>
          <w:lang w:val="uk-UA"/>
        </w:rPr>
        <w:t>1</w:t>
      </w:r>
      <w:r w:rsidRPr="001D24B1">
        <w:rPr>
          <w:rFonts w:ascii="Times New Roman" w:hAnsi="Times New Roman" w:cs="Times New Roman"/>
          <w:color w:val="000000"/>
          <w:sz w:val="24"/>
          <w:szCs w:val="24"/>
          <w:lang w:val="uk-UA"/>
        </w:rPr>
        <w:t xml:space="preserve"> Бюджетного кодексу України зі змінами. При цьому враховано фактичне виконання доходної частини бюджету за попередні базові періоди на підставі розрахунків Маньківського відділення Тальнівської об’єднаної Державної податкової інспекції Головного управління Державної фіскальної служби у Черкаській області. </w:t>
      </w:r>
    </w:p>
    <w:p w:rsidR="00322B58" w:rsidRPr="001D24B1" w:rsidRDefault="00322B58" w:rsidP="00882A38">
      <w:pPr>
        <w:spacing w:after="0"/>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При формуванні доходної частини об’єднаної територіальної  громади враховано зміни положень Бюджетного кодексу України та Податкового кодексу України. </w:t>
      </w:r>
    </w:p>
    <w:p w:rsidR="00322B58" w:rsidRPr="001D24B1" w:rsidRDefault="00322B58" w:rsidP="00CC252D">
      <w:pPr>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Витрати бюджету об’єднаної територіальної  громади від надання пільг по сплаті земельного податку очікується в розмірі </w:t>
      </w:r>
      <w:r>
        <w:rPr>
          <w:rFonts w:ascii="Times New Roman" w:hAnsi="Times New Roman"/>
          <w:color w:val="000000"/>
          <w:sz w:val="24"/>
          <w:szCs w:val="24"/>
          <w:lang w:val="uk-UA"/>
        </w:rPr>
        <w:t>0,4</w:t>
      </w:r>
      <w:r w:rsidRPr="001D24B1">
        <w:rPr>
          <w:rFonts w:ascii="Times New Roman" w:hAnsi="Times New Roman"/>
          <w:color w:val="000000"/>
          <w:sz w:val="24"/>
          <w:szCs w:val="24"/>
          <w:lang w:val="uk-UA"/>
        </w:rPr>
        <w:t xml:space="preserve"> тис. грн.</w:t>
      </w:r>
    </w:p>
    <w:p w:rsidR="00322B58" w:rsidRPr="001D24B1" w:rsidRDefault="00322B58" w:rsidP="001D24B1">
      <w:pPr>
        <w:shd w:val="clear" w:color="auto" w:fill="FFFFFF"/>
        <w:autoSpaceDE w:val="0"/>
        <w:autoSpaceDN w:val="0"/>
        <w:adjustRightInd w:val="0"/>
        <w:spacing w:before="240" w:after="0"/>
        <w:ind w:firstLine="709"/>
        <w:jc w:val="both"/>
        <w:rPr>
          <w:rFonts w:ascii="Times New Roman" w:hAnsi="Times New Roman"/>
          <w:b/>
          <w:color w:val="000000"/>
          <w:sz w:val="24"/>
          <w:szCs w:val="24"/>
          <w:lang w:val="uk-UA"/>
        </w:rPr>
      </w:pPr>
      <w:r w:rsidRPr="001D24B1">
        <w:rPr>
          <w:rFonts w:ascii="Times New Roman" w:hAnsi="Times New Roman"/>
          <w:b/>
          <w:color w:val="000000"/>
          <w:sz w:val="24"/>
          <w:szCs w:val="24"/>
          <w:lang w:val="uk-UA"/>
        </w:rPr>
        <w:t xml:space="preserve">                Структура доходів об’єднаної територіальної  громади у 2018 році</w:t>
      </w:r>
    </w:p>
    <w:p w:rsidR="00322B58" w:rsidRPr="001D24B1" w:rsidRDefault="00322B58" w:rsidP="00CC252D">
      <w:pPr>
        <w:jc w:val="both"/>
        <w:rPr>
          <w:b/>
          <w:bCs/>
          <w:sz w:val="16"/>
          <w:szCs w:val="16"/>
          <w:lang w:val="uk-UA"/>
        </w:rPr>
      </w:pPr>
      <w:r w:rsidRPr="001D24B1">
        <w:rPr>
          <w:b/>
          <w:bCs/>
          <w:sz w:val="32"/>
          <w:szCs w:val="32"/>
          <w:lang w:val="uk-UA"/>
        </w:rPr>
        <w:t xml:space="preserve">                                 </w:t>
      </w:r>
    </w:p>
    <w:p w:rsidR="00322B58" w:rsidRPr="001D24B1" w:rsidRDefault="00322B58" w:rsidP="00CC252D">
      <w:pPr>
        <w:ind w:left="1416" w:firstLine="708"/>
        <w:jc w:val="both"/>
        <w:rPr>
          <w:b/>
          <w:bCs/>
          <w:sz w:val="28"/>
          <w:szCs w:val="28"/>
          <w:lang w:val="uk-UA"/>
        </w:rPr>
      </w:pPr>
      <w:r w:rsidRPr="001D24B1">
        <w:rPr>
          <w:rFonts w:ascii="Times New Roman" w:hAnsi="Times New Roman"/>
          <w:color w:val="000000"/>
          <w:sz w:val="24"/>
          <w:szCs w:val="24"/>
          <w:lang w:val="uk-UA"/>
        </w:rPr>
        <w:t>Всього доходи</w:t>
      </w:r>
      <w:r w:rsidRPr="001D24B1">
        <w:rPr>
          <w:sz w:val="28"/>
          <w:szCs w:val="28"/>
          <w:lang w:val="uk-UA"/>
        </w:rPr>
        <w:t xml:space="preserve"> </w:t>
      </w:r>
      <w:r w:rsidRPr="001D24B1">
        <w:rPr>
          <w:rFonts w:ascii="Times New Roman" w:hAnsi="Times New Roman"/>
          <w:b/>
          <w:color w:val="000000"/>
          <w:sz w:val="24"/>
          <w:szCs w:val="24"/>
          <w:lang w:val="uk-UA"/>
        </w:rPr>
        <w:t>– 19693,354 тис. грн.</w:t>
      </w:r>
    </w:p>
    <w:p w:rsidR="00322B58" w:rsidRPr="001D24B1" w:rsidRDefault="00322B58" w:rsidP="00CC252D">
      <w:pPr>
        <w:ind w:left="360" w:firstLine="540"/>
        <w:jc w:val="both"/>
        <w:rPr>
          <w:sz w:val="26"/>
          <w:szCs w:val="26"/>
          <w:lang w:val="uk-UA"/>
        </w:rPr>
      </w:pPr>
      <w:r>
        <w:rPr>
          <w:noProof/>
          <w:lang w:eastAsia="ru-RU"/>
        </w:rPr>
        <w:pict>
          <v:line id="_x0000_s1026" style="position:absolute;left:0;text-align:left;z-index:251655680" from="243pt,8.15pt" to="5in,75.05pt">
            <v:stroke endarrow="block"/>
            <w10:wrap side="left"/>
          </v:line>
        </w:pict>
      </w:r>
      <w:r>
        <w:rPr>
          <w:noProof/>
          <w:lang w:eastAsia="ru-RU"/>
        </w:rPr>
        <w:pict>
          <v:line id="_x0000_s1027" style="position:absolute;left:0;text-align:left;flip:x;z-index:251654656" from="153pt,8.15pt" to="243pt,63.15pt">
            <v:stroke endarrow="block"/>
            <w10:wrap side="left"/>
          </v:line>
        </w:pict>
      </w:r>
    </w:p>
    <w:p w:rsidR="00322B58" w:rsidRPr="001D24B1" w:rsidRDefault="00322B58" w:rsidP="00CC252D">
      <w:pPr>
        <w:ind w:left="360" w:firstLine="540"/>
        <w:jc w:val="both"/>
        <w:rPr>
          <w:sz w:val="26"/>
          <w:szCs w:val="26"/>
          <w:lang w:val="uk-UA"/>
        </w:rPr>
      </w:pPr>
    </w:p>
    <w:p w:rsidR="00322B58" w:rsidRPr="001D24B1" w:rsidRDefault="00322B58" w:rsidP="00CC252D">
      <w:pPr>
        <w:ind w:left="360" w:firstLine="540"/>
        <w:jc w:val="both"/>
        <w:rPr>
          <w:sz w:val="26"/>
          <w:szCs w:val="26"/>
          <w:lang w:val="uk-UA"/>
        </w:rPr>
      </w:pPr>
    </w:p>
    <w:p w:rsidR="00322B58" w:rsidRPr="001D24B1" w:rsidRDefault="00322B58" w:rsidP="00CC252D">
      <w:pPr>
        <w:ind w:firstLine="540"/>
        <w:jc w:val="both"/>
        <w:rPr>
          <w:i/>
          <w:sz w:val="26"/>
          <w:szCs w:val="26"/>
          <w:lang w:val="uk-UA"/>
        </w:rPr>
      </w:pPr>
      <w:r w:rsidRPr="001D24B1">
        <w:rPr>
          <w:sz w:val="26"/>
          <w:szCs w:val="26"/>
          <w:lang w:val="uk-UA"/>
        </w:rPr>
        <w:t xml:space="preserve">                  </w:t>
      </w:r>
      <w:r w:rsidRPr="001D24B1">
        <w:rPr>
          <w:b/>
          <w:i/>
          <w:color w:val="000080"/>
          <w:sz w:val="26"/>
          <w:szCs w:val="26"/>
          <w:lang w:val="uk-UA"/>
        </w:rPr>
        <w:t>Власні  доходи</w:t>
      </w:r>
      <w:r w:rsidRPr="001D24B1">
        <w:rPr>
          <w:i/>
          <w:sz w:val="26"/>
          <w:szCs w:val="26"/>
          <w:lang w:val="uk-UA"/>
        </w:rPr>
        <w:t xml:space="preserve">                                        </w:t>
      </w:r>
      <w:r w:rsidRPr="001D24B1">
        <w:rPr>
          <w:b/>
          <w:i/>
          <w:color w:val="000080"/>
          <w:sz w:val="26"/>
          <w:szCs w:val="26"/>
          <w:lang w:val="uk-UA"/>
        </w:rPr>
        <w:t>Офіційні трансферти</w:t>
      </w:r>
    </w:p>
    <w:p w:rsidR="00322B58" w:rsidRPr="001D24B1" w:rsidRDefault="00322B58" w:rsidP="00CC252D">
      <w:pPr>
        <w:ind w:left="360" w:firstLine="540"/>
        <w:jc w:val="both"/>
        <w:rPr>
          <w:sz w:val="26"/>
          <w:szCs w:val="26"/>
          <w:lang w:val="uk-UA"/>
        </w:rPr>
      </w:pPr>
      <w:r w:rsidRPr="001D24B1">
        <w:rPr>
          <w:b/>
          <w:sz w:val="26"/>
          <w:szCs w:val="26"/>
          <w:lang w:val="uk-UA"/>
        </w:rPr>
        <w:t xml:space="preserve">                  11485,985</w:t>
      </w:r>
      <w:r w:rsidRPr="001D24B1">
        <w:rPr>
          <w:sz w:val="26"/>
          <w:szCs w:val="26"/>
          <w:lang w:val="uk-UA"/>
        </w:rPr>
        <w:t xml:space="preserve">                                          </w:t>
      </w:r>
      <w:r w:rsidRPr="001D24B1">
        <w:rPr>
          <w:sz w:val="26"/>
          <w:szCs w:val="26"/>
          <w:lang w:val="uk-UA"/>
        </w:rPr>
        <w:tab/>
      </w:r>
      <w:r w:rsidRPr="001D24B1">
        <w:rPr>
          <w:sz w:val="26"/>
          <w:szCs w:val="26"/>
          <w:lang w:val="uk-UA"/>
        </w:rPr>
        <w:tab/>
      </w:r>
      <w:r w:rsidRPr="001D24B1">
        <w:rPr>
          <w:b/>
          <w:i/>
          <w:sz w:val="26"/>
          <w:szCs w:val="26"/>
          <w:lang w:val="uk-UA"/>
        </w:rPr>
        <w:t xml:space="preserve">8207,369         </w:t>
      </w:r>
    </w:p>
    <w:p w:rsidR="00322B58" w:rsidRPr="001D24B1" w:rsidRDefault="00322B58" w:rsidP="00CC252D">
      <w:pPr>
        <w:ind w:firstLine="540"/>
        <w:jc w:val="both"/>
        <w:rPr>
          <w:b/>
          <w:lang w:val="uk-UA"/>
        </w:rPr>
      </w:pPr>
      <w:r>
        <w:rPr>
          <w:noProof/>
          <w:lang w:eastAsia="ru-RU"/>
        </w:rPr>
        <w:pict>
          <v:line id="_x0000_s1028" style="position:absolute;left:0;text-align:left;z-index:251657728" from="135pt,5.4pt" to="191.05pt,72.8pt">
            <v:stroke endarrow="block"/>
            <w10:wrap side="left"/>
          </v:line>
        </w:pict>
      </w:r>
      <w:r>
        <w:rPr>
          <w:noProof/>
          <w:lang w:eastAsia="ru-RU"/>
        </w:rPr>
        <w:pict>
          <v:line id="_x0000_s1029" style="position:absolute;left:0;text-align:left;flip:x;z-index:251656704" from="77.1pt,6.7pt" to="126pt,72.8pt">
            <v:stroke endarrow="block"/>
            <w10:wrap side="left"/>
          </v:line>
        </w:pict>
      </w:r>
      <w:r w:rsidRPr="001D24B1">
        <w:rPr>
          <w:sz w:val="26"/>
          <w:szCs w:val="26"/>
          <w:lang w:val="uk-UA"/>
        </w:rPr>
        <w:t xml:space="preserve">                                                                                             </w:t>
      </w:r>
    </w:p>
    <w:p w:rsidR="00322B58" w:rsidRPr="001D24B1" w:rsidRDefault="00322B58" w:rsidP="00CC252D">
      <w:pPr>
        <w:ind w:left="360" w:firstLine="540"/>
        <w:jc w:val="both"/>
        <w:rPr>
          <w:sz w:val="26"/>
          <w:szCs w:val="26"/>
          <w:lang w:val="uk-UA"/>
        </w:rPr>
      </w:pPr>
      <w:r w:rsidRPr="001D24B1">
        <w:rPr>
          <w:sz w:val="26"/>
          <w:szCs w:val="26"/>
          <w:lang w:val="uk-UA"/>
        </w:rPr>
        <w:t xml:space="preserve">                                                   </w:t>
      </w:r>
    </w:p>
    <w:p w:rsidR="00322B58" w:rsidRPr="001D24B1" w:rsidRDefault="00322B58" w:rsidP="00CC252D">
      <w:pPr>
        <w:ind w:firstLine="540"/>
        <w:jc w:val="both"/>
        <w:rPr>
          <w:sz w:val="28"/>
          <w:szCs w:val="28"/>
          <w:lang w:val="uk-UA"/>
        </w:rPr>
      </w:pPr>
      <w:r w:rsidRPr="001D24B1">
        <w:rPr>
          <w:sz w:val="28"/>
          <w:szCs w:val="28"/>
          <w:lang w:val="uk-UA"/>
        </w:rPr>
        <w:t xml:space="preserve">                                                                                                   </w:t>
      </w:r>
    </w:p>
    <w:p w:rsidR="00322B58" w:rsidRPr="001D24B1" w:rsidRDefault="00322B58" w:rsidP="00CC252D">
      <w:pPr>
        <w:jc w:val="both"/>
        <w:rPr>
          <w:b/>
          <w:i/>
          <w:sz w:val="26"/>
          <w:szCs w:val="26"/>
          <w:lang w:val="uk-UA"/>
        </w:rPr>
      </w:pPr>
      <w:r w:rsidRPr="001D24B1">
        <w:rPr>
          <w:sz w:val="26"/>
          <w:szCs w:val="26"/>
          <w:lang w:val="uk-UA"/>
        </w:rPr>
        <w:t xml:space="preserve">    </w:t>
      </w:r>
      <w:r w:rsidRPr="001D24B1">
        <w:rPr>
          <w:b/>
          <w:i/>
          <w:color w:val="000080"/>
          <w:sz w:val="26"/>
          <w:szCs w:val="26"/>
          <w:lang w:val="uk-UA"/>
        </w:rPr>
        <w:t>Загальний фонд</w:t>
      </w:r>
      <w:r w:rsidRPr="001D24B1">
        <w:rPr>
          <w:b/>
          <w:i/>
          <w:sz w:val="26"/>
          <w:szCs w:val="26"/>
          <w:lang w:val="uk-UA"/>
        </w:rPr>
        <w:t xml:space="preserve">            </w:t>
      </w:r>
      <w:r w:rsidRPr="001D24B1">
        <w:rPr>
          <w:b/>
          <w:i/>
          <w:color w:val="000080"/>
          <w:sz w:val="26"/>
          <w:szCs w:val="26"/>
          <w:lang w:val="uk-UA"/>
        </w:rPr>
        <w:t xml:space="preserve">Спеціальний фонд </w:t>
      </w:r>
      <w:r w:rsidRPr="001D24B1">
        <w:rPr>
          <w:b/>
          <w:i/>
          <w:sz w:val="26"/>
          <w:szCs w:val="26"/>
          <w:lang w:val="uk-UA"/>
        </w:rPr>
        <w:t xml:space="preserve">     </w:t>
      </w:r>
    </w:p>
    <w:p w:rsidR="00322B58" w:rsidRPr="001D24B1" w:rsidRDefault="00322B58" w:rsidP="00CC252D">
      <w:pPr>
        <w:ind w:firstLine="540"/>
        <w:jc w:val="both"/>
        <w:rPr>
          <w:sz w:val="26"/>
          <w:szCs w:val="26"/>
          <w:lang w:val="uk-UA"/>
        </w:rPr>
      </w:pPr>
      <w:r>
        <w:rPr>
          <w:noProof/>
          <w:lang w:eastAsia="ru-RU"/>
        </w:rPr>
        <w:pict>
          <v:line id="_x0000_s1030" style="position:absolute;left:0;text-align:left;z-index:251658752" from="1in,3.7pt" to="1in,39.7pt">
            <v:stroke endarrow="block"/>
          </v:line>
        </w:pict>
      </w:r>
      <w:r>
        <w:rPr>
          <w:noProof/>
          <w:lang w:eastAsia="ru-RU"/>
        </w:rPr>
        <w:pict>
          <v:line id="_x0000_s1031" style="position:absolute;left:0;text-align:left;z-index:251659776" from="207pt,3.7pt" to="207pt,39.7pt">
            <v:stroke endarrow="block"/>
          </v:line>
        </w:pict>
      </w:r>
      <w:r>
        <w:rPr>
          <w:noProof/>
          <w:lang w:eastAsia="ru-RU"/>
        </w:rPr>
        <w:pict>
          <v:line id="_x0000_s1032" style="position:absolute;left:0;text-align:left;z-index:251660800" from="459pt,10.1pt" to="459pt,10.1pt">
            <v:stroke endarrow="block"/>
          </v:line>
        </w:pict>
      </w:r>
      <w:r w:rsidRPr="001D24B1">
        <w:rPr>
          <w:b/>
          <w:i/>
          <w:sz w:val="26"/>
          <w:szCs w:val="26"/>
          <w:lang w:val="uk-UA"/>
        </w:rPr>
        <w:t xml:space="preserve">                                                                                                                                                                                            </w:t>
      </w:r>
    </w:p>
    <w:p w:rsidR="00322B58" w:rsidRPr="001D24B1" w:rsidRDefault="00322B58" w:rsidP="00CC252D">
      <w:pPr>
        <w:ind w:firstLine="540"/>
        <w:jc w:val="both"/>
        <w:rPr>
          <w:b/>
          <w:bCs/>
          <w:lang w:val="uk-UA"/>
        </w:rPr>
      </w:pPr>
    </w:p>
    <w:p w:rsidR="00322B58" w:rsidRPr="001D24B1" w:rsidRDefault="00322B58" w:rsidP="00CC252D">
      <w:pPr>
        <w:ind w:firstLine="540"/>
        <w:jc w:val="both"/>
        <w:rPr>
          <w:b/>
          <w:bCs/>
          <w:lang w:val="uk-UA"/>
        </w:rPr>
      </w:pPr>
      <w:r w:rsidRPr="001D24B1">
        <w:rPr>
          <w:b/>
          <w:bCs/>
          <w:lang w:val="uk-UA"/>
        </w:rPr>
        <w:t xml:space="preserve">        11370,285     </w:t>
      </w:r>
      <w:r w:rsidRPr="001D24B1">
        <w:rPr>
          <w:b/>
          <w:color w:val="000080"/>
          <w:lang w:val="uk-UA"/>
        </w:rPr>
        <w:t xml:space="preserve"> </w:t>
      </w:r>
      <w:r w:rsidRPr="001D24B1">
        <w:rPr>
          <w:b/>
          <w:lang w:val="uk-UA"/>
        </w:rPr>
        <w:t xml:space="preserve">                                115,700</w:t>
      </w:r>
      <w:r w:rsidRPr="001D24B1">
        <w:rPr>
          <w:b/>
          <w:bCs/>
          <w:color w:val="000080"/>
          <w:lang w:val="uk-UA"/>
        </w:rPr>
        <w:t xml:space="preserve">                  </w:t>
      </w:r>
    </w:p>
    <w:p w:rsidR="00322B58" w:rsidRPr="001D24B1" w:rsidRDefault="00322B58" w:rsidP="00CC252D">
      <w:pPr>
        <w:ind w:firstLine="540"/>
        <w:jc w:val="both"/>
        <w:rPr>
          <w:b/>
          <w:bCs/>
          <w:lang w:val="uk-UA"/>
        </w:rPr>
      </w:pP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p>
    <w:p w:rsidR="00322B58" w:rsidRPr="001D24B1" w:rsidRDefault="00322B58" w:rsidP="00CC252D">
      <w:pPr>
        <w:pStyle w:val="PlainText"/>
        <w:ind w:firstLine="540"/>
        <w:jc w:val="both"/>
        <w:rPr>
          <w:rFonts w:ascii="Times New Roman" w:hAnsi="Times New Roman" w:cs="Times New Roman"/>
          <w:color w:val="000000"/>
          <w:sz w:val="24"/>
          <w:szCs w:val="24"/>
          <w:lang w:eastAsia="en-US"/>
        </w:rPr>
      </w:pPr>
      <w:r w:rsidRPr="001D24B1">
        <w:rPr>
          <w:rFonts w:ascii="Times New Roman" w:hAnsi="Times New Roman" w:cs="Times New Roman"/>
          <w:color w:val="000000"/>
          <w:sz w:val="24"/>
          <w:szCs w:val="24"/>
          <w:lang w:eastAsia="en-US"/>
        </w:rPr>
        <w:t>Обсяг доходів об’єднаної територіальної  громади на 2018 рік прогнозується в сумі 19693,354 тис. грн., власні  доходи  загального фонду –  11370,285 тис. грн., спеціального фонду – 115,700 тис. грн., офіційні трансферти – 8207,369 тис. грн.</w:t>
      </w:r>
    </w:p>
    <w:p w:rsidR="00322B58" w:rsidRPr="001D24B1" w:rsidRDefault="00322B58" w:rsidP="00CC252D">
      <w:pPr>
        <w:pStyle w:val="PlainText"/>
        <w:ind w:firstLine="540"/>
        <w:jc w:val="both"/>
        <w:rPr>
          <w:rFonts w:ascii="Times New Roman" w:hAnsi="Times New Roman" w:cs="Times New Roman"/>
          <w:color w:val="000000"/>
          <w:sz w:val="24"/>
          <w:szCs w:val="24"/>
          <w:lang w:eastAsia="en-US"/>
        </w:rPr>
      </w:pPr>
      <w:r w:rsidRPr="001D24B1">
        <w:rPr>
          <w:rFonts w:ascii="Times New Roman" w:hAnsi="Times New Roman" w:cs="Times New Roman"/>
          <w:color w:val="000000"/>
          <w:sz w:val="24"/>
          <w:szCs w:val="24"/>
          <w:lang w:eastAsia="en-US"/>
        </w:rPr>
        <w:t xml:space="preserve">Прогнозні показники доходів до об’єднаної територіальної  громади на 2018 рік (загальний та спеціальний фонд без урахування трансфертів) порівняно із фактичними надходженнями у 2017 році, збільшуються  на </w:t>
      </w:r>
      <w:r>
        <w:rPr>
          <w:rFonts w:ascii="Times New Roman" w:hAnsi="Times New Roman" w:cs="Times New Roman"/>
          <w:color w:val="000000"/>
          <w:sz w:val="24"/>
          <w:szCs w:val="24"/>
          <w:lang w:eastAsia="en-US"/>
        </w:rPr>
        <w:t>65</w:t>
      </w:r>
      <w:r w:rsidRPr="001D24B1">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2</w:t>
      </w:r>
      <w:r w:rsidRPr="001D24B1">
        <w:rPr>
          <w:rFonts w:ascii="Times New Roman" w:hAnsi="Times New Roman" w:cs="Times New Roman"/>
          <w:color w:val="000000"/>
          <w:sz w:val="24"/>
          <w:szCs w:val="24"/>
          <w:lang w:eastAsia="en-US"/>
        </w:rPr>
        <w:t xml:space="preserve"> тис. грн., або на 100,6 відсотків, у тому числі:</w:t>
      </w:r>
    </w:p>
    <w:p w:rsidR="00322B58" w:rsidRPr="001D24B1" w:rsidRDefault="00322B58" w:rsidP="00CC252D">
      <w:pPr>
        <w:numPr>
          <w:ilvl w:val="0"/>
          <w:numId w:val="3"/>
        </w:numPr>
        <w:spacing w:after="0" w:line="240" w:lineRule="auto"/>
        <w:ind w:left="0" w:firstLine="36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доходи загального фонду (без офіційних трансфертів) – збільшуються на 166,4 тис. грн., або на 10</w:t>
      </w:r>
      <w:r>
        <w:rPr>
          <w:rFonts w:ascii="Times New Roman" w:hAnsi="Times New Roman"/>
          <w:color w:val="000000"/>
          <w:sz w:val="24"/>
          <w:szCs w:val="24"/>
          <w:lang w:val="uk-UA"/>
        </w:rPr>
        <w:t>1</w:t>
      </w:r>
      <w:r w:rsidRPr="001D24B1">
        <w:rPr>
          <w:rFonts w:ascii="Times New Roman" w:hAnsi="Times New Roman"/>
          <w:color w:val="000000"/>
          <w:sz w:val="24"/>
          <w:szCs w:val="24"/>
          <w:lang w:val="uk-UA"/>
        </w:rPr>
        <w:t>,</w:t>
      </w:r>
      <w:r>
        <w:rPr>
          <w:rFonts w:ascii="Times New Roman" w:hAnsi="Times New Roman"/>
          <w:color w:val="000000"/>
          <w:sz w:val="24"/>
          <w:szCs w:val="24"/>
          <w:lang w:val="uk-UA"/>
        </w:rPr>
        <w:t>5</w:t>
      </w:r>
      <w:r w:rsidRPr="001D24B1">
        <w:rPr>
          <w:rFonts w:ascii="Times New Roman" w:hAnsi="Times New Roman"/>
          <w:color w:val="000000"/>
          <w:sz w:val="24"/>
          <w:szCs w:val="24"/>
          <w:lang w:val="uk-UA"/>
        </w:rPr>
        <w:t xml:space="preserve"> відсотків;</w:t>
      </w:r>
    </w:p>
    <w:p w:rsidR="00322B58" w:rsidRPr="001D24B1" w:rsidRDefault="00322B58" w:rsidP="00CC252D">
      <w:pPr>
        <w:numPr>
          <w:ilvl w:val="0"/>
          <w:numId w:val="3"/>
        </w:numPr>
        <w:spacing w:after="0" w:line="240" w:lineRule="auto"/>
        <w:ind w:left="0" w:firstLine="36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доходи спеціального фонду – зменшуються на </w:t>
      </w:r>
      <w:r>
        <w:rPr>
          <w:rFonts w:ascii="Times New Roman" w:hAnsi="Times New Roman"/>
          <w:color w:val="000000"/>
          <w:sz w:val="24"/>
          <w:szCs w:val="24"/>
          <w:lang w:val="uk-UA"/>
        </w:rPr>
        <w:t>101,2</w:t>
      </w:r>
      <w:r w:rsidRPr="001D24B1">
        <w:rPr>
          <w:rFonts w:ascii="Times New Roman" w:hAnsi="Times New Roman"/>
          <w:color w:val="000000"/>
          <w:sz w:val="24"/>
          <w:szCs w:val="24"/>
          <w:lang w:val="uk-UA"/>
        </w:rPr>
        <w:t xml:space="preserve"> тис. грн., або на </w:t>
      </w:r>
      <w:r>
        <w:rPr>
          <w:rFonts w:ascii="Times New Roman" w:hAnsi="Times New Roman"/>
          <w:color w:val="000000"/>
          <w:sz w:val="24"/>
          <w:szCs w:val="24"/>
          <w:lang w:val="uk-UA"/>
        </w:rPr>
        <w:t>53,3</w:t>
      </w:r>
      <w:r w:rsidRPr="001D24B1">
        <w:rPr>
          <w:rFonts w:ascii="Times New Roman" w:hAnsi="Times New Roman"/>
          <w:color w:val="000000"/>
          <w:sz w:val="24"/>
          <w:szCs w:val="24"/>
          <w:lang w:val="uk-UA"/>
        </w:rPr>
        <w:t xml:space="preserve"> відсотки.</w:t>
      </w:r>
    </w:p>
    <w:p w:rsidR="00322B58" w:rsidRPr="001D24B1" w:rsidRDefault="00322B58" w:rsidP="00CC252D">
      <w:pPr>
        <w:tabs>
          <w:tab w:val="left" w:pos="360"/>
        </w:tabs>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Прогнозні показники офіційних трансфертів збільшуються на </w:t>
      </w:r>
      <w:r>
        <w:rPr>
          <w:rFonts w:ascii="Times New Roman" w:hAnsi="Times New Roman"/>
          <w:color w:val="000000"/>
          <w:sz w:val="24"/>
          <w:szCs w:val="24"/>
          <w:lang w:val="uk-UA"/>
        </w:rPr>
        <w:t>7374,8</w:t>
      </w:r>
      <w:r w:rsidRPr="001D24B1">
        <w:rPr>
          <w:rFonts w:ascii="Times New Roman" w:hAnsi="Times New Roman"/>
          <w:color w:val="000000"/>
          <w:sz w:val="24"/>
          <w:szCs w:val="24"/>
          <w:lang w:val="uk-UA"/>
        </w:rPr>
        <w:t xml:space="preserve"> тис. грн..</w:t>
      </w:r>
    </w:p>
    <w:p w:rsidR="00322B58" w:rsidRPr="001D24B1" w:rsidRDefault="00322B58" w:rsidP="00CC252D">
      <w:pPr>
        <w:ind w:left="8496" w:hanging="396"/>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    тис. грн. </w:t>
      </w:r>
    </w:p>
    <w:tbl>
      <w:tblPr>
        <w:tblW w:w="5000" w:type="pct"/>
        <w:tblLook w:val="0000"/>
      </w:tblPr>
      <w:tblGrid>
        <w:gridCol w:w="5822"/>
        <w:gridCol w:w="1046"/>
        <w:gridCol w:w="1071"/>
        <w:gridCol w:w="876"/>
        <w:gridCol w:w="756"/>
      </w:tblGrid>
      <w:tr w:rsidR="00322B58" w:rsidRPr="00F82447" w:rsidTr="0088774F">
        <w:trPr>
          <w:trHeight w:val="20"/>
        </w:trPr>
        <w:tc>
          <w:tcPr>
            <w:tcW w:w="3051" w:type="pct"/>
            <w:vMerge w:val="restart"/>
            <w:tcBorders>
              <w:top w:val="single" w:sz="8" w:space="0" w:color="auto"/>
              <w:left w:val="single" w:sz="8" w:space="0" w:color="auto"/>
              <w:bottom w:val="single" w:sz="8" w:space="0" w:color="000000"/>
              <w:right w:val="single" w:sz="8" w:space="0" w:color="auto"/>
            </w:tcBorders>
            <w:noWrap/>
            <w:vAlign w:val="bottom"/>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w:t>
            </w:r>
          </w:p>
        </w:tc>
        <w:tc>
          <w:tcPr>
            <w:tcW w:w="556" w:type="pct"/>
            <w:vMerge w:val="restart"/>
            <w:tcBorders>
              <w:top w:val="single" w:sz="8" w:space="0" w:color="auto"/>
              <w:left w:val="single" w:sz="8" w:space="0" w:color="auto"/>
              <w:bottom w:val="single" w:sz="8" w:space="0" w:color="000000"/>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Факт 2017 рік</w:t>
            </w:r>
          </w:p>
        </w:tc>
        <w:tc>
          <w:tcPr>
            <w:tcW w:w="564" w:type="pct"/>
            <w:vMerge w:val="restart"/>
            <w:tcBorders>
              <w:top w:val="single" w:sz="8" w:space="0" w:color="auto"/>
              <w:left w:val="single" w:sz="8" w:space="0" w:color="auto"/>
              <w:bottom w:val="single" w:sz="8" w:space="0" w:color="000000"/>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Прогноз на 2018рік</w:t>
            </w:r>
          </w:p>
        </w:tc>
        <w:tc>
          <w:tcPr>
            <w:tcW w:w="828" w:type="pct"/>
            <w:gridSpan w:val="2"/>
            <w:tcBorders>
              <w:top w:val="single" w:sz="8" w:space="0" w:color="auto"/>
              <w:left w:val="nil"/>
              <w:bottom w:val="single" w:sz="8" w:space="0" w:color="auto"/>
              <w:right w:val="single" w:sz="8" w:space="0" w:color="000000"/>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Відхилення</w:t>
            </w:r>
          </w:p>
        </w:tc>
      </w:tr>
      <w:tr w:rsidR="00322B58" w:rsidRPr="00F82447" w:rsidTr="0088774F">
        <w:trPr>
          <w:trHeight w:val="20"/>
        </w:trPr>
        <w:tc>
          <w:tcPr>
            <w:tcW w:w="3051" w:type="pct"/>
            <w:vMerge/>
            <w:tcBorders>
              <w:top w:val="single" w:sz="8" w:space="0" w:color="auto"/>
              <w:left w:val="single" w:sz="8" w:space="0" w:color="auto"/>
              <w:bottom w:val="single" w:sz="8" w:space="0" w:color="000000"/>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p>
        </w:tc>
        <w:tc>
          <w:tcPr>
            <w:tcW w:w="556" w:type="pct"/>
            <w:vMerge/>
            <w:tcBorders>
              <w:top w:val="single" w:sz="8" w:space="0" w:color="auto"/>
              <w:left w:val="single" w:sz="8" w:space="0" w:color="auto"/>
              <w:bottom w:val="single" w:sz="8" w:space="0" w:color="000000"/>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p>
        </w:tc>
        <w:tc>
          <w:tcPr>
            <w:tcW w:w="564" w:type="pct"/>
            <w:vMerge/>
            <w:tcBorders>
              <w:top w:val="single" w:sz="8" w:space="0" w:color="auto"/>
              <w:left w:val="single" w:sz="8" w:space="0" w:color="auto"/>
              <w:bottom w:val="single" w:sz="8" w:space="0" w:color="000000"/>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p>
        </w:tc>
        <w:tc>
          <w:tcPr>
            <w:tcW w:w="430" w:type="pct"/>
            <w:tcBorders>
              <w:top w:val="nil"/>
              <w:left w:val="nil"/>
              <w:bottom w:val="single" w:sz="8" w:space="0" w:color="auto"/>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сума</w:t>
            </w:r>
          </w:p>
        </w:tc>
        <w:tc>
          <w:tcPr>
            <w:tcW w:w="398" w:type="pct"/>
            <w:tcBorders>
              <w:top w:val="nil"/>
              <w:left w:val="nil"/>
              <w:bottom w:val="single" w:sz="8" w:space="0" w:color="auto"/>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w:t>
            </w:r>
          </w:p>
        </w:tc>
      </w:tr>
      <w:tr w:rsidR="00322B58" w:rsidRPr="00F82447" w:rsidTr="0088774F">
        <w:trPr>
          <w:trHeight w:val="20"/>
        </w:trPr>
        <w:tc>
          <w:tcPr>
            <w:tcW w:w="3051" w:type="pct"/>
            <w:tcBorders>
              <w:top w:val="nil"/>
              <w:left w:val="single" w:sz="8" w:space="0" w:color="auto"/>
              <w:bottom w:val="single" w:sz="8" w:space="0" w:color="auto"/>
              <w:right w:val="single" w:sz="8" w:space="0" w:color="auto"/>
            </w:tcBorders>
            <w:noWrap/>
            <w:vAlign w:val="bottom"/>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Доходи загального фонду (без офіційних трансфертів)</w:t>
            </w:r>
          </w:p>
        </w:tc>
        <w:tc>
          <w:tcPr>
            <w:tcW w:w="556" w:type="pct"/>
            <w:tcBorders>
              <w:top w:val="nil"/>
              <w:left w:val="nil"/>
              <w:bottom w:val="single" w:sz="8" w:space="0" w:color="auto"/>
              <w:right w:val="single" w:sz="8" w:space="0" w:color="auto"/>
            </w:tcBorders>
            <w:noWrap/>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11203,9</w:t>
            </w:r>
          </w:p>
        </w:tc>
        <w:tc>
          <w:tcPr>
            <w:tcW w:w="564" w:type="pct"/>
            <w:tcBorders>
              <w:top w:val="nil"/>
              <w:left w:val="nil"/>
              <w:bottom w:val="single" w:sz="8" w:space="0" w:color="auto"/>
              <w:right w:val="single" w:sz="8" w:space="0" w:color="auto"/>
            </w:tcBorders>
            <w:vAlign w:val="center"/>
          </w:tcPr>
          <w:p w:rsidR="00322B58" w:rsidRPr="001D24B1" w:rsidRDefault="00322B58" w:rsidP="00254458">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11370,3</w:t>
            </w:r>
          </w:p>
        </w:tc>
        <w:tc>
          <w:tcPr>
            <w:tcW w:w="430" w:type="pct"/>
            <w:tcBorders>
              <w:top w:val="nil"/>
              <w:left w:val="nil"/>
              <w:bottom w:val="single" w:sz="8" w:space="0" w:color="auto"/>
              <w:right w:val="single" w:sz="8" w:space="0" w:color="auto"/>
            </w:tcBorders>
            <w:vAlign w:val="center"/>
          </w:tcPr>
          <w:p w:rsidR="00322B58" w:rsidRPr="001D24B1" w:rsidRDefault="00322B58" w:rsidP="00826854">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166,4</w:t>
            </w:r>
          </w:p>
        </w:tc>
        <w:tc>
          <w:tcPr>
            <w:tcW w:w="398" w:type="pct"/>
            <w:tcBorders>
              <w:top w:val="nil"/>
              <w:left w:val="nil"/>
              <w:bottom w:val="single" w:sz="8" w:space="0" w:color="auto"/>
              <w:right w:val="single" w:sz="8" w:space="0" w:color="auto"/>
            </w:tcBorders>
            <w:vAlign w:val="center"/>
          </w:tcPr>
          <w:p w:rsidR="00322B58" w:rsidRPr="001D24B1" w:rsidRDefault="00322B58" w:rsidP="00826854">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101,5</w:t>
            </w:r>
          </w:p>
        </w:tc>
      </w:tr>
      <w:tr w:rsidR="00322B58" w:rsidRPr="00F82447" w:rsidTr="0088774F">
        <w:trPr>
          <w:trHeight w:val="20"/>
        </w:trPr>
        <w:tc>
          <w:tcPr>
            <w:tcW w:w="3051" w:type="pct"/>
            <w:tcBorders>
              <w:top w:val="nil"/>
              <w:left w:val="single" w:sz="8" w:space="0" w:color="auto"/>
              <w:bottom w:val="single" w:sz="8" w:space="0" w:color="auto"/>
              <w:right w:val="single" w:sz="8" w:space="0" w:color="auto"/>
            </w:tcBorders>
            <w:noWrap/>
            <w:vAlign w:val="bottom"/>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Доходи спеціального фонду</w:t>
            </w:r>
          </w:p>
        </w:tc>
        <w:tc>
          <w:tcPr>
            <w:tcW w:w="556" w:type="pct"/>
            <w:tcBorders>
              <w:top w:val="nil"/>
              <w:left w:val="nil"/>
              <w:bottom w:val="single" w:sz="8" w:space="0" w:color="auto"/>
              <w:right w:val="single" w:sz="8" w:space="0" w:color="auto"/>
            </w:tcBorders>
            <w:vAlign w:val="center"/>
          </w:tcPr>
          <w:p w:rsidR="00322B58" w:rsidRPr="001D24B1" w:rsidRDefault="00322B58" w:rsidP="00493DAA">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21</w:t>
            </w:r>
            <w:r>
              <w:rPr>
                <w:rFonts w:ascii="Times New Roman" w:hAnsi="Times New Roman"/>
                <w:color w:val="000000"/>
                <w:sz w:val="24"/>
                <w:szCs w:val="24"/>
                <w:lang w:val="uk-UA"/>
              </w:rPr>
              <w:t>6</w:t>
            </w:r>
            <w:r w:rsidRPr="001D24B1">
              <w:rPr>
                <w:rFonts w:ascii="Times New Roman" w:hAnsi="Times New Roman"/>
                <w:color w:val="000000"/>
                <w:sz w:val="24"/>
                <w:szCs w:val="24"/>
                <w:lang w:val="uk-UA"/>
              </w:rPr>
              <w:t>,</w:t>
            </w:r>
            <w:r>
              <w:rPr>
                <w:rFonts w:ascii="Times New Roman" w:hAnsi="Times New Roman"/>
                <w:color w:val="000000"/>
                <w:sz w:val="24"/>
                <w:szCs w:val="24"/>
                <w:lang w:val="uk-UA"/>
              </w:rPr>
              <w:t>9</w:t>
            </w:r>
          </w:p>
        </w:tc>
        <w:tc>
          <w:tcPr>
            <w:tcW w:w="564" w:type="pct"/>
            <w:tcBorders>
              <w:top w:val="nil"/>
              <w:left w:val="nil"/>
              <w:bottom w:val="single" w:sz="8" w:space="0" w:color="auto"/>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115,7</w:t>
            </w:r>
          </w:p>
        </w:tc>
        <w:tc>
          <w:tcPr>
            <w:tcW w:w="430" w:type="pct"/>
            <w:tcBorders>
              <w:top w:val="nil"/>
              <w:left w:val="nil"/>
              <w:bottom w:val="single" w:sz="8" w:space="0" w:color="auto"/>
              <w:right w:val="single" w:sz="8" w:space="0" w:color="auto"/>
            </w:tcBorders>
            <w:vAlign w:val="center"/>
          </w:tcPr>
          <w:p w:rsidR="00322B58" w:rsidRPr="001D24B1" w:rsidRDefault="00322B58" w:rsidP="00493DAA">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w:t>
            </w:r>
            <w:r>
              <w:rPr>
                <w:rFonts w:ascii="Times New Roman" w:hAnsi="Times New Roman"/>
                <w:color w:val="000000"/>
                <w:sz w:val="24"/>
                <w:szCs w:val="24"/>
                <w:lang w:val="uk-UA"/>
              </w:rPr>
              <w:t>101</w:t>
            </w:r>
            <w:r w:rsidRPr="001D24B1">
              <w:rPr>
                <w:rFonts w:ascii="Times New Roman" w:hAnsi="Times New Roman"/>
                <w:color w:val="000000"/>
                <w:sz w:val="24"/>
                <w:szCs w:val="24"/>
                <w:lang w:val="uk-UA"/>
              </w:rPr>
              <w:t>,</w:t>
            </w:r>
            <w:r>
              <w:rPr>
                <w:rFonts w:ascii="Times New Roman" w:hAnsi="Times New Roman"/>
                <w:color w:val="000000"/>
                <w:sz w:val="24"/>
                <w:szCs w:val="24"/>
                <w:lang w:val="uk-UA"/>
              </w:rPr>
              <w:t>2</w:t>
            </w:r>
          </w:p>
        </w:tc>
        <w:tc>
          <w:tcPr>
            <w:tcW w:w="398" w:type="pct"/>
            <w:tcBorders>
              <w:top w:val="nil"/>
              <w:left w:val="nil"/>
              <w:bottom w:val="single" w:sz="8" w:space="0" w:color="auto"/>
              <w:right w:val="single" w:sz="8" w:space="0" w:color="auto"/>
            </w:tcBorders>
            <w:vAlign w:val="center"/>
          </w:tcPr>
          <w:p w:rsidR="00322B58" w:rsidRPr="001D24B1" w:rsidRDefault="00322B58" w:rsidP="00493DAA">
            <w:pPr>
              <w:spacing w:after="0"/>
              <w:jc w:val="both"/>
              <w:rPr>
                <w:rFonts w:ascii="Times New Roman" w:hAnsi="Times New Roman"/>
                <w:color w:val="000000"/>
                <w:sz w:val="24"/>
                <w:szCs w:val="24"/>
                <w:lang w:val="uk-UA"/>
              </w:rPr>
            </w:pPr>
            <w:r>
              <w:rPr>
                <w:rFonts w:ascii="Times New Roman" w:hAnsi="Times New Roman"/>
                <w:color w:val="000000"/>
                <w:sz w:val="24"/>
                <w:szCs w:val="24"/>
                <w:lang w:val="uk-UA"/>
              </w:rPr>
              <w:t>53,3</w:t>
            </w:r>
          </w:p>
        </w:tc>
      </w:tr>
      <w:tr w:rsidR="00322B58" w:rsidRPr="00F82447" w:rsidTr="0088774F">
        <w:trPr>
          <w:trHeight w:val="20"/>
        </w:trPr>
        <w:tc>
          <w:tcPr>
            <w:tcW w:w="3051" w:type="pct"/>
            <w:tcBorders>
              <w:top w:val="nil"/>
              <w:left w:val="single" w:sz="8" w:space="0" w:color="auto"/>
              <w:bottom w:val="single" w:sz="8" w:space="0" w:color="auto"/>
              <w:right w:val="single" w:sz="8" w:space="0" w:color="auto"/>
            </w:tcBorders>
            <w:noWrap/>
            <w:vAlign w:val="bottom"/>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Офіційні трансферти (дотації та субвенції)</w:t>
            </w:r>
          </w:p>
        </w:tc>
        <w:tc>
          <w:tcPr>
            <w:tcW w:w="556" w:type="pct"/>
            <w:tcBorders>
              <w:top w:val="nil"/>
              <w:left w:val="nil"/>
              <w:bottom w:val="single" w:sz="8" w:space="0" w:color="auto"/>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832,6</w:t>
            </w:r>
          </w:p>
        </w:tc>
        <w:tc>
          <w:tcPr>
            <w:tcW w:w="564" w:type="pct"/>
            <w:tcBorders>
              <w:top w:val="nil"/>
              <w:left w:val="nil"/>
              <w:bottom w:val="single" w:sz="8" w:space="0" w:color="auto"/>
              <w:right w:val="single" w:sz="8" w:space="0" w:color="auto"/>
            </w:tcBorders>
            <w:vAlign w:val="center"/>
          </w:tcPr>
          <w:p w:rsidR="00322B58" w:rsidRPr="001D24B1" w:rsidRDefault="00322B58" w:rsidP="00254458">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8207,4</w:t>
            </w:r>
          </w:p>
        </w:tc>
        <w:tc>
          <w:tcPr>
            <w:tcW w:w="430" w:type="pct"/>
            <w:tcBorders>
              <w:top w:val="nil"/>
              <w:left w:val="nil"/>
              <w:bottom w:val="single" w:sz="8" w:space="0" w:color="auto"/>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Pr>
                <w:rFonts w:ascii="Times New Roman" w:hAnsi="Times New Roman"/>
                <w:color w:val="000000"/>
                <w:sz w:val="24"/>
                <w:szCs w:val="24"/>
                <w:lang w:val="uk-UA"/>
              </w:rPr>
              <w:t>7374,8</w:t>
            </w:r>
          </w:p>
        </w:tc>
        <w:tc>
          <w:tcPr>
            <w:tcW w:w="398" w:type="pct"/>
            <w:tcBorders>
              <w:top w:val="nil"/>
              <w:left w:val="nil"/>
              <w:bottom w:val="single" w:sz="8" w:space="0" w:color="auto"/>
              <w:right w:val="single" w:sz="8" w:space="0" w:color="auto"/>
            </w:tcBorders>
            <w:vAlign w:val="center"/>
          </w:tcPr>
          <w:p w:rsidR="00322B58" w:rsidRPr="001D24B1" w:rsidRDefault="00322B58" w:rsidP="00CC252D">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980,4</w:t>
            </w:r>
          </w:p>
        </w:tc>
      </w:tr>
      <w:tr w:rsidR="00322B58" w:rsidRPr="00F82447" w:rsidTr="0088774F">
        <w:trPr>
          <w:trHeight w:val="20"/>
        </w:trPr>
        <w:tc>
          <w:tcPr>
            <w:tcW w:w="3051" w:type="pct"/>
            <w:tcBorders>
              <w:top w:val="nil"/>
              <w:left w:val="single" w:sz="8" w:space="0" w:color="auto"/>
              <w:bottom w:val="single" w:sz="8" w:space="0" w:color="auto"/>
              <w:right w:val="single" w:sz="8" w:space="0" w:color="auto"/>
            </w:tcBorders>
            <w:noWrap/>
            <w:vAlign w:val="bottom"/>
          </w:tcPr>
          <w:p w:rsidR="00322B58" w:rsidRPr="001D24B1" w:rsidRDefault="00322B58" w:rsidP="00CC252D">
            <w:pPr>
              <w:spacing w:after="0"/>
              <w:jc w:val="both"/>
              <w:rPr>
                <w:rFonts w:ascii="Times New Roman" w:hAnsi="Times New Roman"/>
                <w:b/>
                <w:color w:val="000000"/>
                <w:sz w:val="24"/>
                <w:szCs w:val="24"/>
                <w:lang w:val="uk-UA"/>
              </w:rPr>
            </w:pPr>
            <w:r w:rsidRPr="001D24B1">
              <w:rPr>
                <w:rFonts w:ascii="Times New Roman" w:hAnsi="Times New Roman"/>
                <w:b/>
                <w:color w:val="000000"/>
                <w:sz w:val="24"/>
                <w:szCs w:val="24"/>
                <w:lang w:val="uk-UA"/>
              </w:rPr>
              <w:t xml:space="preserve">Всього доходи об’єднаної територіальної  громади </w:t>
            </w:r>
          </w:p>
        </w:tc>
        <w:tc>
          <w:tcPr>
            <w:tcW w:w="556" w:type="pct"/>
            <w:tcBorders>
              <w:top w:val="nil"/>
              <w:left w:val="nil"/>
              <w:bottom w:val="single" w:sz="8" w:space="0" w:color="auto"/>
              <w:right w:val="single" w:sz="8" w:space="0" w:color="auto"/>
            </w:tcBorders>
            <w:vAlign w:val="center"/>
          </w:tcPr>
          <w:p w:rsidR="00322B58" w:rsidRPr="001D24B1" w:rsidRDefault="00322B58" w:rsidP="00493DAA">
            <w:pPr>
              <w:spacing w:after="0"/>
              <w:jc w:val="both"/>
              <w:rPr>
                <w:rFonts w:ascii="Times New Roman" w:hAnsi="Times New Roman"/>
                <w:b/>
                <w:color w:val="000000"/>
                <w:sz w:val="24"/>
                <w:szCs w:val="24"/>
                <w:lang w:val="uk-UA"/>
              </w:rPr>
            </w:pPr>
            <w:r w:rsidRPr="001D24B1">
              <w:rPr>
                <w:rFonts w:ascii="Times New Roman" w:hAnsi="Times New Roman"/>
                <w:b/>
                <w:color w:val="000000"/>
                <w:sz w:val="24"/>
                <w:szCs w:val="24"/>
                <w:lang w:val="uk-UA"/>
              </w:rPr>
              <w:t>122</w:t>
            </w:r>
            <w:r>
              <w:rPr>
                <w:rFonts w:ascii="Times New Roman" w:hAnsi="Times New Roman"/>
                <w:b/>
                <w:color w:val="000000"/>
                <w:sz w:val="24"/>
                <w:szCs w:val="24"/>
                <w:lang w:val="uk-UA"/>
              </w:rPr>
              <w:t>53</w:t>
            </w:r>
            <w:r w:rsidRPr="001D24B1">
              <w:rPr>
                <w:rFonts w:ascii="Times New Roman" w:hAnsi="Times New Roman"/>
                <w:b/>
                <w:color w:val="000000"/>
                <w:sz w:val="24"/>
                <w:szCs w:val="24"/>
                <w:lang w:val="uk-UA"/>
              </w:rPr>
              <w:t>,</w:t>
            </w:r>
            <w:r>
              <w:rPr>
                <w:rFonts w:ascii="Times New Roman" w:hAnsi="Times New Roman"/>
                <w:b/>
                <w:color w:val="000000"/>
                <w:sz w:val="24"/>
                <w:szCs w:val="24"/>
                <w:lang w:val="uk-UA"/>
              </w:rPr>
              <w:t>4</w:t>
            </w:r>
          </w:p>
        </w:tc>
        <w:tc>
          <w:tcPr>
            <w:tcW w:w="564" w:type="pct"/>
            <w:tcBorders>
              <w:top w:val="nil"/>
              <w:left w:val="nil"/>
              <w:bottom w:val="single" w:sz="8" w:space="0" w:color="auto"/>
              <w:right w:val="single" w:sz="8" w:space="0" w:color="auto"/>
            </w:tcBorders>
            <w:vAlign w:val="center"/>
          </w:tcPr>
          <w:p w:rsidR="00322B58" w:rsidRPr="001D24B1" w:rsidRDefault="00322B58" w:rsidP="00CC252D">
            <w:pPr>
              <w:spacing w:after="0"/>
              <w:jc w:val="both"/>
              <w:rPr>
                <w:rFonts w:ascii="Times New Roman" w:hAnsi="Times New Roman"/>
                <w:b/>
                <w:color w:val="000000"/>
                <w:sz w:val="24"/>
                <w:szCs w:val="24"/>
                <w:lang w:val="uk-UA"/>
              </w:rPr>
            </w:pPr>
            <w:r w:rsidRPr="001D24B1">
              <w:rPr>
                <w:rFonts w:ascii="Times New Roman" w:hAnsi="Times New Roman"/>
                <w:b/>
                <w:color w:val="000000"/>
                <w:sz w:val="24"/>
                <w:szCs w:val="24"/>
                <w:lang w:val="uk-UA"/>
              </w:rPr>
              <w:t>19693,4</w:t>
            </w:r>
          </w:p>
        </w:tc>
        <w:tc>
          <w:tcPr>
            <w:tcW w:w="430" w:type="pct"/>
            <w:tcBorders>
              <w:top w:val="nil"/>
              <w:left w:val="nil"/>
              <w:bottom w:val="single" w:sz="8" w:space="0" w:color="auto"/>
              <w:right w:val="single" w:sz="8" w:space="0" w:color="auto"/>
            </w:tcBorders>
            <w:vAlign w:val="center"/>
          </w:tcPr>
          <w:p w:rsidR="00322B58" w:rsidRPr="001D24B1" w:rsidRDefault="00322B58" w:rsidP="00493DAA">
            <w:pPr>
              <w:spacing w:after="0"/>
              <w:jc w:val="both"/>
              <w:rPr>
                <w:rFonts w:ascii="Times New Roman" w:hAnsi="Times New Roman"/>
                <w:b/>
                <w:color w:val="000000"/>
                <w:sz w:val="24"/>
                <w:szCs w:val="24"/>
                <w:lang w:val="uk-UA"/>
              </w:rPr>
            </w:pPr>
            <w:r>
              <w:rPr>
                <w:rFonts w:ascii="Times New Roman" w:hAnsi="Times New Roman"/>
                <w:b/>
                <w:color w:val="000000"/>
                <w:sz w:val="24"/>
                <w:szCs w:val="24"/>
                <w:lang w:val="uk-UA"/>
              </w:rPr>
              <w:t>7440,0</w:t>
            </w:r>
          </w:p>
        </w:tc>
        <w:tc>
          <w:tcPr>
            <w:tcW w:w="398" w:type="pct"/>
            <w:tcBorders>
              <w:top w:val="nil"/>
              <w:left w:val="nil"/>
              <w:bottom w:val="single" w:sz="8" w:space="0" w:color="auto"/>
              <w:right w:val="single" w:sz="8" w:space="0" w:color="auto"/>
            </w:tcBorders>
            <w:vAlign w:val="center"/>
          </w:tcPr>
          <w:p w:rsidR="00322B58" w:rsidRPr="001D24B1" w:rsidRDefault="00322B58" w:rsidP="001A116F">
            <w:pPr>
              <w:spacing w:after="0"/>
              <w:jc w:val="both"/>
              <w:rPr>
                <w:rFonts w:ascii="Times New Roman" w:hAnsi="Times New Roman"/>
                <w:b/>
                <w:color w:val="000000"/>
                <w:sz w:val="24"/>
                <w:szCs w:val="24"/>
                <w:lang w:val="uk-UA"/>
              </w:rPr>
            </w:pPr>
            <w:r w:rsidRPr="001D24B1">
              <w:rPr>
                <w:rFonts w:ascii="Times New Roman" w:hAnsi="Times New Roman"/>
                <w:b/>
                <w:color w:val="000000"/>
                <w:sz w:val="24"/>
                <w:szCs w:val="24"/>
                <w:lang w:val="uk-UA"/>
              </w:rPr>
              <w:t>160,</w:t>
            </w:r>
            <w:r>
              <w:rPr>
                <w:rFonts w:ascii="Times New Roman" w:hAnsi="Times New Roman"/>
                <w:b/>
                <w:color w:val="000000"/>
                <w:sz w:val="24"/>
                <w:szCs w:val="24"/>
                <w:lang w:val="uk-UA"/>
              </w:rPr>
              <w:t>7</w:t>
            </w:r>
          </w:p>
        </w:tc>
      </w:tr>
    </w:tbl>
    <w:p w:rsidR="00322B58" w:rsidRPr="001D24B1" w:rsidRDefault="00322B58" w:rsidP="00CC252D">
      <w:pPr>
        <w:spacing w:after="0"/>
        <w:ind w:firstLine="540"/>
        <w:jc w:val="both"/>
        <w:rPr>
          <w:color w:val="FF0000"/>
          <w:lang w:val="uk-UA"/>
        </w:rPr>
      </w:pPr>
    </w:p>
    <w:p w:rsidR="00322B58" w:rsidRPr="001D24B1" w:rsidRDefault="00322B58" w:rsidP="00CC252D">
      <w:pPr>
        <w:spacing w:after="0"/>
        <w:ind w:firstLine="540"/>
        <w:jc w:val="both"/>
        <w:rPr>
          <w:color w:val="FF0000"/>
          <w:lang w:val="uk-UA"/>
        </w:rPr>
      </w:pPr>
    </w:p>
    <w:p w:rsidR="00322B58" w:rsidRPr="001D24B1" w:rsidRDefault="00322B58" w:rsidP="00CC252D">
      <w:pPr>
        <w:spacing w:after="0"/>
        <w:ind w:firstLine="540"/>
        <w:jc w:val="both"/>
        <w:rPr>
          <w:color w:val="FF0000"/>
          <w:lang w:val="uk-UA"/>
        </w:rPr>
      </w:pPr>
    </w:p>
    <w:p w:rsidR="00322B58" w:rsidRPr="001D24B1" w:rsidRDefault="00322B58" w:rsidP="00CC252D">
      <w:pPr>
        <w:spacing w:after="0"/>
        <w:ind w:firstLine="540"/>
        <w:jc w:val="both"/>
        <w:rPr>
          <w:color w:val="FF0000"/>
          <w:lang w:val="uk-UA"/>
        </w:rPr>
      </w:pP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F82447">
        <w:rPr>
          <w:rFonts w:ascii="Times New Roman" w:hAnsi="Times New Roman"/>
          <w:noProof/>
          <w:color w:val="000000"/>
          <w:sz w:val="24"/>
          <w:szCs w:val="24"/>
          <w:lang w:eastAsia="ru-RU"/>
        </w:rPr>
        <w:object w:dxaOrig="8343" w:dyaOrig="4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36.5pt;height:285pt;visibility:visible" o:ole="">
            <v:imagedata r:id="rId5" o:title="" croptop="-1064f" cropbottom="-12132f" cropleft="-2867f" cropright="-1634f"/>
            <o:lock v:ext="edit" aspectratio="f"/>
          </v:shape>
          <o:OLEObject Type="Embed" ProgID="Excel.Chart.8" ShapeID="Объект 1" DrawAspect="Content" ObjectID="_1582338061" r:id="rId6"/>
        </w:objec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F82447">
        <w:rPr>
          <w:rFonts w:ascii="Times New Roman" w:hAnsi="Times New Roman"/>
          <w:noProof/>
          <w:color w:val="000000"/>
          <w:sz w:val="24"/>
          <w:szCs w:val="24"/>
          <w:lang w:eastAsia="ru-RU"/>
        </w:rPr>
        <w:object w:dxaOrig="9361" w:dyaOrig="4484">
          <v:shape id="Объект 2" o:spid="_x0000_i1026" type="#_x0000_t75" style="width:468.75pt;height:224.25pt;visibility:visible" o:ole="">
            <v:imagedata r:id="rId7" o:title="" cropbottom="-73f" cropright="-35f"/>
            <o:lock v:ext="edit" aspectratio="f"/>
          </v:shape>
          <o:OLEObject Type="Embed" ProgID="Excel.Chart.8" ShapeID="Объект 2" DrawAspect="Content" ObjectID="_1582338062" r:id="rId8"/>
        </w:objec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p>
    <w:p w:rsidR="00322B58" w:rsidRPr="001D24B1" w:rsidRDefault="00322B58" w:rsidP="00CC252D">
      <w:pPr>
        <w:shd w:val="clear" w:color="auto" w:fill="FFFFFF"/>
        <w:autoSpaceDE w:val="0"/>
        <w:autoSpaceDN w:val="0"/>
        <w:adjustRightInd w:val="0"/>
        <w:spacing w:after="0"/>
        <w:ind w:firstLine="709"/>
        <w:jc w:val="center"/>
        <w:rPr>
          <w:rFonts w:ascii="Times New Roman" w:hAnsi="Times New Roman"/>
          <w:color w:val="000000"/>
          <w:sz w:val="24"/>
          <w:szCs w:val="24"/>
          <w:lang w:val="uk-UA"/>
        </w:rPr>
      </w:pPr>
      <w:r w:rsidRPr="001D24B1">
        <w:rPr>
          <w:rFonts w:ascii="Times New Roman" w:hAnsi="Times New Roman"/>
          <w:color w:val="000000"/>
          <w:sz w:val="24"/>
          <w:szCs w:val="24"/>
          <w:lang w:val="uk-UA"/>
        </w:rPr>
        <w:t>ДОХОДИ ЗАГАЛЬНОГО ФОНДУ</w:t>
      </w:r>
    </w:p>
    <w:p w:rsidR="00322B58" w:rsidRPr="001D24B1" w:rsidRDefault="00322B58" w:rsidP="00CC252D">
      <w:pPr>
        <w:spacing w:after="6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Обсяг доходів загального фонду об’єднаної територіальної  громади на 2018 рік (без офіційних трансфертів) визначений у сумі 11370,285 гpн., що складає 101,5 відсотків до фактичних надходжень у 2017 році.</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 2018 році заплановано отримати податок та збір на доходи фізичних осіб в сумі 5523,912 тис. грн., рентну плату та плату за використання інших природних ресурсів в сумі 16, 549 тис. грн.. Внутрішні податки на товари та послуги  в 2018 році по плану мають надійти в сумі 1138,778 тис. грн..  Одним з основних видів надходжень до місцевого бюджету є плата за землю, платниками яких є фізичні та юридичні особи. Місцеві податки  заплановано отримати в сумі 4684,845 тис. грн.. Орендна плата за землю з юридичних осіб має надійти в сумі  2314,908 тис.  грн., орендна плата з фізичних осіб – 243,124 тис. грн. та земельний податок з фізичних осіб – 30,220 тис.  грн.. Єдиний податок  за планом складає 1966,367 тис. грн.. Загальна сума податкових надходжень до місцевого бюджету на 2018 рік складає 11364,084 тис. грн. Неподаткові надходження  заплановано отримати в сумі 6,201 тис. грн..  У 2018 році офіційні трансферти  заплановано отримати в сумі 8207,369 тис. грн.. Обсяг доходів загального фонду складає 19577,654 тис. грн..</w:t>
      </w:r>
    </w:p>
    <w:p w:rsidR="00322B58" w:rsidRPr="001D24B1" w:rsidRDefault="00322B58" w:rsidP="00CC252D">
      <w:pPr>
        <w:shd w:val="clear" w:color="auto" w:fill="FFFFFF"/>
        <w:autoSpaceDE w:val="0"/>
        <w:autoSpaceDN w:val="0"/>
        <w:adjustRightInd w:val="0"/>
        <w:spacing w:before="240" w:after="0"/>
        <w:ind w:firstLine="709"/>
        <w:jc w:val="center"/>
        <w:rPr>
          <w:rFonts w:ascii="Times New Roman" w:hAnsi="Times New Roman"/>
          <w:sz w:val="24"/>
          <w:szCs w:val="24"/>
          <w:lang w:val="uk-UA"/>
        </w:rPr>
      </w:pPr>
      <w:r w:rsidRPr="001D24B1">
        <w:rPr>
          <w:rFonts w:ascii="Times New Roman" w:hAnsi="Times New Roman"/>
          <w:color w:val="000000"/>
          <w:sz w:val="24"/>
          <w:szCs w:val="24"/>
          <w:lang w:val="uk-UA"/>
        </w:rPr>
        <w:t>ДОХОДИ СПЕЦІАЛЬНОГО ФОНДУ</w:t>
      </w:r>
    </w:p>
    <w:p w:rsidR="00322B58" w:rsidRPr="001D24B1" w:rsidRDefault="00322B58" w:rsidP="00CC252D">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Обсяг доходів спеціального фонду на 2018 рік складає 115,700 тис. грн.. Екологічний податок по плану на 2018 рік має надійти в сумі 24,300 тис. грн..</w:t>
      </w:r>
    </w:p>
    <w:p w:rsidR="00322B58" w:rsidRPr="001D24B1" w:rsidRDefault="00322B58" w:rsidP="00CC252D">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До доходів спеціального фонду відносяться власні надходження бюджетних установ, їх заплановано отримати в сумі 77,000 тис. грн. та цільові фонди в сумі 14,400 тис. грн. </w:t>
      </w:r>
    </w:p>
    <w:p w:rsidR="00322B58" w:rsidRPr="001D24B1" w:rsidRDefault="00322B58" w:rsidP="00CC252D">
      <w:pPr>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Розрахунки проведені з врахуванням фактичних надходжень за 2016-2017 роки.</w:t>
      </w:r>
    </w:p>
    <w:p w:rsidR="00322B58" w:rsidRPr="001D24B1" w:rsidRDefault="00322B58" w:rsidP="00CC252D">
      <w:pPr>
        <w:shd w:val="clear" w:color="auto" w:fill="FFFFFF"/>
        <w:autoSpaceDE w:val="0"/>
        <w:autoSpaceDN w:val="0"/>
        <w:adjustRightInd w:val="0"/>
        <w:spacing w:before="240" w:after="0"/>
        <w:ind w:firstLine="709"/>
        <w:jc w:val="center"/>
        <w:rPr>
          <w:rFonts w:ascii="Times New Roman" w:hAnsi="Times New Roman"/>
          <w:color w:val="000000"/>
          <w:sz w:val="24"/>
          <w:szCs w:val="24"/>
          <w:lang w:val="uk-UA"/>
        </w:rPr>
      </w:pPr>
      <w:r w:rsidRPr="001D24B1">
        <w:rPr>
          <w:rFonts w:ascii="Times New Roman" w:hAnsi="Times New Roman"/>
          <w:color w:val="000000"/>
          <w:sz w:val="24"/>
          <w:szCs w:val="24"/>
          <w:lang w:val="uk-UA"/>
        </w:rPr>
        <w:t>ОФІЦІЙНІ ТРАНСФЕРТИ</w:t>
      </w:r>
    </w:p>
    <w:p w:rsidR="00322B58" w:rsidRPr="001D24B1" w:rsidRDefault="00322B58" w:rsidP="00CC252D">
      <w:pPr>
        <w:spacing w:after="0"/>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 обласного бюджету планується отримання субвенції та дотації в сумі 8207,369 тис. грн., в тому числі:</w:t>
      </w:r>
    </w:p>
    <w:p w:rsidR="00322B58" w:rsidRPr="001D24B1" w:rsidRDefault="00322B58" w:rsidP="00CC252D">
      <w:pPr>
        <w:spacing w:after="0"/>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585, 700 тис. грн. – базова дотація,  запланована на утримання закладів культури,</w:t>
      </w:r>
    </w:p>
    <w:p w:rsidR="00322B58" w:rsidRPr="001D24B1" w:rsidRDefault="00322B58" w:rsidP="00CC252D">
      <w:pPr>
        <w:spacing w:after="0"/>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 4914,100 тис. грн. - освітня субвенція з державного бюджету місцевим бюджетам, запланована на утримання закладів освіти,</w:t>
      </w:r>
    </w:p>
    <w:p w:rsidR="00322B58" w:rsidRPr="001D24B1" w:rsidRDefault="00322B58" w:rsidP="00CC252D">
      <w:pPr>
        <w:spacing w:after="0"/>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2108,000 тис. грн. </w:t>
      </w:r>
      <w:r w:rsidRPr="001D24B1">
        <w:rPr>
          <w:rFonts w:ascii="Times New Roman" w:hAnsi="Times New Roman"/>
          <w:color w:val="000000"/>
          <w:sz w:val="24"/>
          <w:szCs w:val="24"/>
          <w:lang w:val="uk-UA"/>
        </w:rPr>
        <w:softHyphen/>
        <w:t>- медична субвенція з державного бюджету місцевим бюджетам, запланована на утримання медичних закладів,</w:t>
      </w:r>
    </w:p>
    <w:p w:rsidR="00322B58" w:rsidRPr="001D24B1" w:rsidRDefault="00322B58" w:rsidP="00CC252D">
      <w:pPr>
        <w:spacing w:after="0"/>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554,800 тис. грн.. -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p w:rsidR="00322B58" w:rsidRPr="001D24B1" w:rsidRDefault="00322B58" w:rsidP="00DF606D">
      <w:pPr>
        <w:spacing w:after="0"/>
        <w:ind w:firstLine="54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44,769 тис. грн. -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w:t>
      </w:r>
    </w:p>
    <w:p w:rsidR="00322B58" w:rsidRPr="001D24B1" w:rsidRDefault="00322B58" w:rsidP="00CC252D">
      <w:pPr>
        <w:spacing w:after="0"/>
        <w:ind w:firstLine="540"/>
        <w:jc w:val="both"/>
        <w:rPr>
          <w:rFonts w:ascii="Times New Roman" w:hAnsi="Times New Roman"/>
          <w:color w:val="000000"/>
          <w:sz w:val="24"/>
          <w:szCs w:val="24"/>
          <w:lang w:val="uk-UA"/>
        </w:rPr>
      </w:pPr>
    </w:p>
    <w:p w:rsidR="00322B58" w:rsidRPr="001D24B1" w:rsidRDefault="00322B58" w:rsidP="00CC252D">
      <w:pPr>
        <w:shd w:val="clear" w:color="auto" w:fill="FFFFFF"/>
        <w:autoSpaceDE w:val="0"/>
        <w:autoSpaceDN w:val="0"/>
        <w:adjustRightInd w:val="0"/>
        <w:spacing w:before="240" w:after="0"/>
        <w:ind w:firstLine="709"/>
        <w:jc w:val="center"/>
        <w:rPr>
          <w:rFonts w:ascii="Times New Roman" w:hAnsi="Times New Roman"/>
          <w:sz w:val="24"/>
          <w:szCs w:val="24"/>
          <w:lang w:val="uk-UA"/>
        </w:rPr>
      </w:pPr>
      <w:r w:rsidRPr="001D24B1">
        <w:rPr>
          <w:rFonts w:ascii="Times New Roman" w:hAnsi="Times New Roman"/>
          <w:color w:val="000000"/>
          <w:sz w:val="24"/>
          <w:szCs w:val="24"/>
          <w:lang w:val="uk-UA"/>
        </w:rPr>
        <w:t>ВИДАТКИ З МІСЦЕВОГО БЮДЖЕТУ</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Розрахунок обсягів видатків загального і спеціального фонду місцевого бюджету на 2018 рік визначено в сумі 19693,354 тис. грн.. Видаткова частина місцевого бюджету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ради на 2018 рік за загальним фондом склала 19577,654 тис. грн. і за спеціальним 115,700 тис. грн., що має забезпечити проведення розрахунків бюджетних установ відповідно до встановлених чинним законодавством умов оплати праці та розміру мінімальної заробітної плати.</w:t>
      </w:r>
    </w:p>
    <w:p w:rsidR="00322B58" w:rsidRPr="001D24B1" w:rsidRDefault="00322B58" w:rsidP="00CC252D">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ЗАГАЛЬНИЙ ФОНД</w:t>
      </w:r>
    </w:p>
    <w:p w:rsidR="00322B58" w:rsidRPr="001D24B1" w:rsidRDefault="00322B58" w:rsidP="00CC252D">
      <w:pPr>
        <w:spacing w:before="6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Враховуючи вимоги п. 4 статті 77 Бюджетного кодексу України, виходячи із фінансових можливостей у першочерговому порядку враховано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та на проведення розрахунків за електричну енергію, придбання твердого палива та послуги зв'язку, які споживаються бюджетними установами. </w:t>
      </w:r>
    </w:p>
    <w:p w:rsidR="00322B58" w:rsidRPr="001D24B1" w:rsidRDefault="00322B58" w:rsidP="00CC252D">
      <w:pPr>
        <w:spacing w:before="60"/>
        <w:ind w:firstLine="709"/>
        <w:jc w:val="both"/>
        <w:rPr>
          <w:rFonts w:ascii="Times New Roman" w:hAnsi="Times New Roman"/>
          <w:color w:val="000000"/>
          <w:sz w:val="24"/>
          <w:szCs w:val="24"/>
          <w:lang w:val="uk-UA"/>
        </w:rPr>
      </w:pPr>
      <w:r w:rsidRPr="00F82447">
        <w:rPr>
          <w:rFonts w:ascii="Times New Roman" w:hAnsi="Times New Roman"/>
          <w:noProof/>
          <w:color w:val="000000"/>
          <w:sz w:val="24"/>
          <w:szCs w:val="24"/>
          <w:lang w:eastAsia="ru-RU"/>
        </w:rPr>
        <w:object w:dxaOrig="7479" w:dyaOrig="2976">
          <v:shape id="Объект 3" o:spid="_x0000_i1027" type="#_x0000_t75" style="width:468pt;height:212.25pt;visibility:visible" o:ole="">
            <v:imagedata r:id="rId9" o:title="" croptop="-3810f" cropbottom="-24025f" cropleft="-8833f" cropright="-7615f"/>
            <o:lock v:ext="edit" aspectratio="f"/>
          </v:shape>
          <o:OLEObject Type="Embed" ProgID="Excel.Chart.8" ShapeID="Объект 3" DrawAspect="Content" ObjectID="_1582338063" r:id="rId10"/>
        </w:object>
      </w:r>
    </w:p>
    <w:p w:rsidR="00322B58" w:rsidRPr="001D24B1" w:rsidRDefault="00322B58" w:rsidP="00CC252D">
      <w:pPr>
        <w:ind w:firstLine="53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 утримання закладів галузі освіти по загальному фонду передбачено 8994,304 тис.  грн. (45,4 % загального обсягу видатків), соціального захисту та соціального забезпечення – 47,000 тис. грн. (0,2%), культури і мистецтва – 773, 159 тис. грн. (3,9%), державне управління – 278,684 тис. грн. (14,1%), благоустрій – 396,947 тис. грн. (2,0%),  інші видатки  – 1368,55 грн. (6,9%), трансферти з місцевого бюджету – 5422,144 тис. грн. (27,4%).</w:t>
      </w:r>
    </w:p>
    <w:p w:rsidR="00322B58" w:rsidRPr="001D24B1" w:rsidRDefault="00322B58" w:rsidP="00CC252D">
      <w:pPr>
        <w:ind w:firstLine="539"/>
        <w:jc w:val="both"/>
        <w:rPr>
          <w:rFonts w:ascii="Times New Roman" w:hAnsi="Times New Roman"/>
          <w:color w:val="000000"/>
          <w:sz w:val="24"/>
          <w:szCs w:val="24"/>
          <w:lang w:val="uk-UA"/>
        </w:rPr>
      </w:pPr>
      <w:r w:rsidRPr="00F82447">
        <w:rPr>
          <w:rFonts w:ascii="Times New Roman" w:hAnsi="Times New Roman"/>
          <w:noProof/>
          <w:color w:val="000000"/>
          <w:sz w:val="24"/>
          <w:szCs w:val="24"/>
          <w:lang w:eastAsia="ru-RU"/>
        </w:rPr>
        <w:object w:dxaOrig="7469" w:dyaOrig="4637">
          <v:shape id="Объект 4" o:spid="_x0000_i1028" type="#_x0000_t75" style="width:468pt;height:239.25pt;visibility:visible" o:ole="">
            <v:imagedata r:id="rId11" o:title="" croptop="-1357f" cropbottom="-650f" cropleft="-8336f" cropright="-8213f"/>
            <o:lock v:ext="edit" aspectratio="f"/>
          </v:shape>
          <o:OLEObject Type="Embed" ProgID="Excel.Chart.8" ShapeID="Объект 4" DrawAspect="Content" ObjectID="_1582338064" r:id="rId12"/>
        </w:object>
      </w:r>
    </w:p>
    <w:p w:rsidR="00322B58" w:rsidRPr="001D24B1" w:rsidRDefault="00322B58" w:rsidP="00A55CD4">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 економічною структурою видатки та кредитування загального фонду  розподілені на:</w:t>
      </w:r>
    </w:p>
    <w:p w:rsidR="00322B58" w:rsidRPr="001D24B1" w:rsidRDefault="00322B58" w:rsidP="00A55CD4">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заробітну плату з нарахуваннями – 9580, 151 тис. грн. (49,0% загального обсягу видатків);</w:t>
      </w:r>
    </w:p>
    <w:p w:rsidR="00322B58" w:rsidRPr="001D24B1" w:rsidRDefault="00322B58" w:rsidP="00A55CD4">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продукти харчування – 462,36 тис. грн. (2,4%);</w:t>
      </w:r>
    </w:p>
    <w:p w:rsidR="00322B58" w:rsidRPr="001D24B1" w:rsidRDefault="00322B58" w:rsidP="00A55CD4">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енергоносії 1366,105 тис. грн. (7%);</w:t>
      </w:r>
    </w:p>
    <w:p w:rsidR="00322B58" w:rsidRPr="001D24B1" w:rsidRDefault="00322B58" w:rsidP="00A55CD4">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інші видатки – 2657,594 тис. грн. (13,6% загального обсягу видатків);</w:t>
      </w:r>
    </w:p>
    <w:p w:rsidR="00322B58" w:rsidRPr="001D24B1" w:rsidRDefault="00322B58" w:rsidP="00A55CD4">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інші виплати населенню – 47,000 тис. грн. (0,2% загального обсягу видатків).</w:t>
      </w:r>
    </w:p>
    <w:p w:rsidR="00322B58" w:rsidRPr="001D24B1" w:rsidRDefault="00322B58" w:rsidP="001D24B1">
      <w:pPr>
        <w:tabs>
          <w:tab w:val="left" w:pos="3765"/>
        </w:tabs>
        <w:spacing w:before="240"/>
        <w:rPr>
          <w:rFonts w:ascii="Times New Roman" w:hAnsi="Times New Roman"/>
          <w:b/>
          <w:color w:val="000000"/>
          <w:sz w:val="24"/>
          <w:szCs w:val="24"/>
          <w:lang w:val="uk-UA"/>
        </w:rPr>
      </w:pPr>
      <w:r>
        <w:rPr>
          <w:rFonts w:ascii="Times New Roman" w:hAnsi="Times New Roman"/>
          <w:b/>
          <w:color w:val="000000"/>
          <w:sz w:val="24"/>
          <w:szCs w:val="24"/>
          <w:lang w:val="uk-UA"/>
        </w:rPr>
        <w:tab/>
      </w:r>
      <w:r w:rsidRPr="001D24B1">
        <w:rPr>
          <w:rFonts w:ascii="Times New Roman" w:hAnsi="Times New Roman"/>
          <w:b/>
          <w:color w:val="000000"/>
          <w:sz w:val="24"/>
          <w:szCs w:val="24"/>
          <w:lang w:val="uk-UA"/>
        </w:rPr>
        <w:t>ДЕРЖАВНЕ УПРАВЛІННЯ</w:t>
      </w:r>
    </w:p>
    <w:p w:rsidR="00322B58" w:rsidRPr="001D24B1" w:rsidRDefault="00322B58" w:rsidP="00CC252D">
      <w:pPr>
        <w:spacing w:before="240" w:after="0"/>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селищної рад</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обсяг видатків на фінансування органів місцевого самоврядування на 2018 рік запланований і затверджений об’єднаною територіальною громадою в сумі 2575,550 тис. грн.. </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 них заплановано:</w:t>
      </w:r>
    </w:p>
    <w:tbl>
      <w:tblPr>
        <w:tblW w:w="0" w:type="auto"/>
        <w:tblLook w:val="00A0"/>
      </w:tblPr>
      <w:tblGrid>
        <w:gridCol w:w="4880"/>
        <w:gridCol w:w="2043"/>
      </w:tblGrid>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Заробітна плата</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1970,000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Нарахування на оплату праці</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436,920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Предмети, матеріали, обладнання та інвентар</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65,470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послуг (крім комунальних)</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14,000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на відрядження</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12,000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електроенергії</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46,160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інших енергоносіїв</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30,000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Інші поточні видатки</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1,000 тис. грн.</w:t>
            </w:r>
          </w:p>
        </w:tc>
      </w:tr>
    </w:tbl>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p>
    <w:p w:rsidR="00322B58" w:rsidRPr="001D24B1" w:rsidRDefault="00322B58" w:rsidP="00CC252D">
      <w:pPr>
        <w:shd w:val="clear" w:color="auto" w:fill="FFFFFF"/>
        <w:autoSpaceDE w:val="0"/>
        <w:autoSpaceDN w:val="0"/>
        <w:adjustRightInd w:val="0"/>
        <w:spacing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ОСВІТА</w:t>
      </w:r>
    </w:p>
    <w:p w:rsidR="00322B58" w:rsidRPr="001D24B1" w:rsidRDefault="00322B58" w:rsidP="00CC252D">
      <w:pPr>
        <w:shd w:val="clear" w:color="auto" w:fill="FFFFFF"/>
        <w:autoSpaceDE w:val="0"/>
        <w:autoSpaceDN w:val="0"/>
        <w:adjustRightInd w:val="0"/>
        <w:spacing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Надання дошкільної освіти</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утримання дошкільних навчальних закладів в загальній сумі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і складають 2788,684 тис. грн., що дає можливість забезпечити функціонування Буцького, Багвянського та сезонного Кутівського закладів дошкільної освіти. </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 дошкільних навчальних закладах числиться 35 штатних працівники, зайнятість яких складає сорокагодинну робочу неділю. Видатки на заробітну плату передбачають в собі виплату заробітної плати в повному обсязі, виплату доплати до посадового окладу за вислугу років, виплату доплати до посадового окладу за шкідливий характер роботи, виплату матеріальної допомоги по виходу у відпустку педагогічним працівникам.</w:t>
      </w:r>
    </w:p>
    <w:p w:rsidR="00322B58" w:rsidRPr="001D24B1" w:rsidRDefault="00322B58" w:rsidP="00CC252D">
      <w:pPr>
        <w:spacing w:after="0"/>
        <w:ind w:firstLine="851"/>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Загальна сума видатків на зарплату по дошкільним навчальним закладам складає 1880,112 тис. грн.. Нарахування на заробітну плату складають 414,000 тис. грн.. У видатках на оплату праці враховано асигнування на виплату педагогічним працівникам надбавок за вислугу років, матеріальної допомоги на оздоровлення у розмірі посадового окладу, а також доплата педпрацівникам у розмірі 20% до посадового окладу згідно з постановою Кабінету Міністрів України від 23.03.2011 № 373 .</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 придбання предметів та матеріалів виділено кошти в сумі 56,000 тис. грн., що дасть можливість забезпечити малоцінним інвентарем дошкільні заклади в повному обсязі. На придбання медикаментів заплановано 0,300 тис. грн., на придбання продуктів харчування із загального фонду виділено асигнувань в розмірі 212,100 тис. грн. та із спеціального фонду планується отримати кошти в сумі 75,000 тис. грн., які згідно чинного законодавства будуть використані на придбання продуктів харчування для дітей Буцького, Багвянського та сезонного Кутівського закладів дошкільної освіти.</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На проведення дератизації в приміщенні  та інші послуги виділено кошти в сумі 14,172 тис. грн.. Видатки на відрядження виділено кошти в сумі 2,000 тис. грн.. На оплату електроенергії виділено і затверджено кошти в сумі 70,000 тис. грн., оплату інших енергоносіїв </w:t>
      </w:r>
      <w:r w:rsidRPr="001D24B1">
        <w:rPr>
          <w:rFonts w:ascii="Times New Roman" w:hAnsi="Times New Roman"/>
          <w:color w:val="000000"/>
          <w:sz w:val="24"/>
          <w:szCs w:val="24"/>
          <w:lang w:val="uk-UA"/>
        </w:rPr>
        <w:softHyphen/>
        <w:t>– 140,000 тис. грн..</w:t>
      </w:r>
    </w:p>
    <w:p w:rsidR="00322B58" w:rsidRPr="001D24B1" w:rsidRDefault="00322B58" w:rsidP="000028A1">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Згідно функціональної класифікації обсяг видатків складає 2788,684 тис. грн., а саме:</w:t>
      </w:r>
    </w:p>
    <w:tbl>
      <w:tblPr>
        <w:tblW w:w="0" w:type="auto"/>
        <w:tblLook w:val="00A0"/>
      </w:tblPr>
      <w:tblGrid>
        <w:gridCol w:w="4880"/>
        <w:gridCol w:w="2043"/>
      </w:tblGrid>
      <w:tr w:rsidR="00322B58" w:rsidRPr="00F82447" w:rsidTr="003B288F">
        <w:trPr>
          <w:trHeight w:val="259"/>
        </w:trPr>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Заробітна плата</w:t>
            </w:r>
          </w:p>
        </w:tc>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1880,112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Нарахування на оплату праці</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414,000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Предмети, матеріали, обладнання та інвентар</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56,000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Медикаменти та перев'язувальні матеріали</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0,300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Продукти харчування</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212,100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послуг (крім комунальних)</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14,172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на відрядження</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електроенергії</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70,000 тис. грн.</w:t>
            </w:r>
          </w:p>
        </w:tc>
      </w:tr>
      <w:tr w:rsidR="00322B58" w:rsidRPr="00F82447" w:rsidTr="003B288F">
        <w:trPr>
          <w:trHeight w:val="259"/>
        </w:trPr>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інших енергоносіїв</w:t>
            </w:r>
          </w:p>
        </w:tc>
        <w:tc>
          <w:tcPr>
            <w:tcW w:w="0" w:type="auto"/>
          </w:tcPr>
          <w:p w:rsidR="00322B58" w:rsidRPr="001D24B1" w:rsidRDefault="00322B58" w:rsidP="00C46999">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140,000 тис. грн.</w:t>
            </w:r>
          </w:p>
        </w:tc>
      </w:tr>
    </w:tbl>
    <w:p w:rsidR="00322B58" w:rsidRPr="001D24B1" w:rsidRDefault="00322B58" w:rsidP="003B0C76">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Розрахунок видаткової частини бюджету проведений пропорційно до надходжень дохідної частини бюджету. Видатки дошкільних закладів здійснюватимуться за рахунок власних надходжень до місцевого бюджету. </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надання загальної середньої освіти загальноосвітніми навчальними закладами  в загальній сумі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і складають 5785,460 тис. грн., що дає можливість забезпечити функціонування Буцької та Багвянської загальноосвітніх шкіл протягом ІІ – І\/ кварталів.</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на заробітну плату передбачають в собі виплату заробітної плати в повному обсязі, виплату доплати до посадового окладу за вислугу років, виплату матеріальної допомоги на оздоровлення по виходу у відпустку педагогічним працівникам.</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Загальна сума видатків на зарплату по загальноосвітнім навчальним закладам складає 3284,898 тис. грн.. Нарахування на заробітну плату складають 722,677 тис. грн. Затверджена об’єднаною територіальною громадою видаткова частина місцевого бюджету по загальноосвітнім закладам дає можливість проводити видатки по захищеним статтям в повному обсязі і не допускати кредиторської заборгованості. </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 придбання предметів та матеріалів виділено кошти в сумі 185,000 тис. грн., що дасть можливість провести поточний ремонт та забезпечити заклади дидактичними матеріалами і малоцінним інвентарем. На придбання медикаментів заплановано 2,325 тис. грн., на придбання продуктів харчування із загального фонду виділено асигнувань в розмірі 250,260 тис. грн., які будуть використані на придбання продуктів харчування для дітей Буцького, Багвянського загальноосвітніх закладів та на безкоштовне харчування дітей І – І\/ класів.</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 оплату послуг та проведення дератизації в приміщеннях виділено кошти в сумі 15,000 тис. грн.. Для підвищення кваліфікації вчителів передбачено видатки на відрядження в сумі 7,500 тис. грн.. На оплату електроенергії виділено кошти в сумі 209,050 тис. грн.. Для опалення шкільних приміщень на оплату інших енергоносіїв затверджено 1105,300 тис. грн. також передбачено кошти на окремі заходи по реалізації державних (регіональних) програм, не віднесені до заходів розвитку в сумі 0, 450 тис. грн. та інші поточні видатки в сумі 3, 000 тис. грн..</w:t>
      </w:r>
    </w:p>
    <w:p w:rsidR="00322B58" w:rsidRPr="001D24B1" w:rsidRDefault="00322B58" w:rsidP="000028A1">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Згідно функціональної класифікації обсяг видатків складає 5785,460 тис. грн., а саме:</w:t>
      </w:r>
    </w:p>
    <w:tbl>
      <w:tblPr>
        <w:tblW w:w="0" w:type="auto"/>
        <w:tblInd w:w="113" w:type="dxa"/>
        <w:tblLook w:val="00A0"/>
      </w:tblPr>
      <w:tblGrid>
        <w:gridCol w:w="4969"/>
        <w:gridCol w:w="2043"/>
      </w:tblGrid>
      <w:tr w:rsidR="00322B58" w:rsidRPr="00F82447" w:rsidTr="003B0C76">
        <w:trPr>
          <w:trHeight w:val="259"/>
        </w:trPr>
        <w:tc>
          <w:tcPr>
            <w:tcW w:w="4969" w:type="dxa"/>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Заробітна плата</w:t>
            </w:r>
          </w:p>
        </w:tc>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3284,898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Нарахування на оплату праці</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722,677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Предмети, матеріали, обладнання та інвентар</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185,000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Медикаменти та перев'язувальні матеріали</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2,325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Продукти харчування</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250,260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послуг (крім комунальних)</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15,000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на відрядження</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7,500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електроенергії</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209,050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інших енергоносіїв</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1105,300 тис. грн.</w:t>
            </w:r>
          </w:p>
        </w:tc>
      </w:tr>
      <w:tr w:rsidR="00322B58" w:rsidRPr="00F82447" w:rsidTr="003B0C76">
        <w:trPr>
          <w:trHeight w:val="43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Окремі заходи по реалізації державних (регіональних) програм, не віднесені до заходів розвитку</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0,450 тис. грн.</w:t>
            </w:r>
          </w:p>
        </w:tc>
      </w:tr>
      <w:tr w:rsidR="00322B58" w:rsidRPr="00F82447" w:rsidTr="003B0C76">
        <w:trPr>
          <w:trHeight w:val="259"/>
        </w:trPr>
        <w:tc>
          <w:tcPr>
            <w:tcW w:w="4969" w:type="dxa"/>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Інші поточні видатки</w:t>
            </w:r>
          </w:p>
        </w:tc>
        <w:tc>
          <w:tcPr>
            <w:tcW w:w="0" w:type="auto"/>
          </w:tcPr>
          <w:p w:rsidR="00322B58" w:rsidRPr="001D24B1" w:rsidRDefault="00322B58" w:rsidP="003B0C7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3,000 тис. грн.</w:t>
            </w:r>
          </w:p>
        </w:tc>
      </w:tr>
    </w:tbl>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Розрахунок видаткової частини бюджету проведений пропорційно до надходжень дохідної частини бюджету. Видатки загальноосвітніх навчальних закладів здійснюватимуться за рахунок власних надходжень до місцевого бюджету в сумі 1644,589 тис. грн.,</w:t>
      </w:r>
      <w:r w:rsidRPr="001D24B1">
        <w:rPr>
          <w:lang w:val="uk-UA"/>
        </w:rPr>
        <w:t xml:space="preserve"> </w:t>
      </w:r>
      <w:r w:rsidRPr="001D24B1">
        <w:rPr>
          <w:rFonts w:ascii="Times New Roman" w:hAnsi="Times New Roman"/>
          <w:color w:val="000000"/>
          <w:sz w:val="24"/>
          <w:szCs w:val="24"/>
          <w:lang w:val="uk-UA"/>
        </w:rPr>
        <w:t>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361,970 тис. грн. та освітньої субвенції з державного бюджету місцевим бюджетам в сумі 3778,900 тис. грн..</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Забезпечення діяльності інших закладів у сфері освіти</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забезпечення діяльності інших закладів у сфері освіти в загальній сумі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і складають 420,160 тис. грн., що дає можливість забезпечити підвіз дітей до Буцької загальноосвітньої школи. Із них виділено на заробітну плату водіям 78,000 тис. грн.. На нарахування виділено кошти пропорційно фонду заробітної плати в сумі 117,160 тис. грн.. На оплату паливно-мастильних матеріалів виділено кошти в сумі 325,000 тис. грн..</w:t>
      </w:r>
    </w:p>
    <w:p w:rsidR="00322B58" w:rsidRPr="001D24B1" w:rsidRDefault="00322B58" w:rsidP="000028A1">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Згідно функціональної класифікації обсяг видатків складає 420,160 тис. грн., а саме:</w:t>
      </w:r>
    </w:p>
    <w:tbl>
      <w:tblPr>
        <w:tblW w:w="0" w:type="auto"/>
        <w:tblInd w:w="113" w:type="dxa"/>
        <w:tblLook w:val="00A0"/>
      </w:tblPr>
      <w:tblGrid>
        <w:gridCol w:w="4880"/>
        <w:gridCol w:w="1923"/>
      </w:tblGrid>
      <w:tr w:rsidR="00322B58" w:rsidRPr="00F82447" w:rsidTr="000028A1">
        <w:trPr>
          <w:trHeight w:val="259"/>
        </w:trPr>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Заробітна плата</w:t>
            </w:r>
          </w:p>
        </w:tc>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78,000 тис. грн.</w:t>
            </w:r>
          </w:p>
        </w:tc>
      </w:tr>
      <w:tr w:rsidR="00322B58" w:rsidRPr="00F82447" w:rsidTr="000028A1">
        <w:trPr>
          <w:trHeight w:val="259"/>
        </w:trPr>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Нарахування на оплату праці</w:t>
            </w:r>
          </w:p>
        </w:tc>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17,160 тис. грн.</w:t>
            </w:r>
          </w:p>
        </w:tc>
      </w:tr>
      <w:tr w:rsidR="00322B58" w:rsidRPr="00F82447" w:rsidTr="000028A1">
        <w:trPr>
          <w:trHeight w:val="259"/>
        </w:trPr>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Предмети, матеріали, обладнання та інвентар</w:t>
            </w:r>
          </w:p>
        </w:tc>
        <w:tc>
          <w:tcPr>
            <w:tcW w:w="0" w:type="auto"/>
          </w:tcPr>
          <w:p w:rsidR="00322B58" w:rsidRPr="001D24B1" w:rsidRDefault="00322B58" w:rsidP="000028A1">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325,000 тис. грн.</w:t>
            </w:r>
          </w:p>
        </w:tc>
      </w:tr>
    </w:tbl>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на забезпечення діяльності інших закладів у сфері освіти здійснюватимуться за рахунок власних надходжень до місцевого бюджету.</w:t>
      </w:r>
    </w:p>
    <w:p w:rsidR="00322B58" w:rsidRPr="001D24B1" w:rsidRDefault="00322B58" w:rsidP="000028A1">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СОЦІАЛЬНИЙ ЗАХИСТ ТА СОЦІАЛЬНЕ ЗАБЕЗПЕЧЕННЯ</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Компенсаційні виплати на пільговий проїзд автомобільним транспортом окремим категоріям громадян</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обсяг видатків для забезпечення пільгового проїзду окремих  категорій громадян автомобільним транспортом у 2018 році на І квартал передбачено </w:t>
      </w:r>
      <w:r>
        <w:rPr>
          <w:rFonts w:ascii="Times New Roman" w:hAnsi="Times New Roman"/>
          <w:color w:val="000000"/>
          <w:sz w:val="24"/>
          <w:szCs w:val="24"/>
          <w:lang w:val="uk-UA"/>
        </w:rPr>
        <w:t>с</w:t>
      </w:r>
      <w:r w:rsidRPr="001D24B1">
        <w:rPr>
          <w:rFonts w:ascii="Times New Roman" w:hAnsi="Times New Roman"/>
          <w:color w:val="000000"/>
          <w:sz w:val="24"/>
          <w:szCs w:val="24"/>
          <w:lang w:val="uk-UA"/>
        </w:rPr>
        <w:t>убсидії та поточні трансферти підприємствам (установам, організаціям)в сумі  20,800 тис. грн..</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на компенсаційні виплати здійснюватимуться за рахунок надходжень до місцевого бюджету.</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Інші заходи у сфері соціального захисту і соціального забезпечення</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 соціальний захист населення передбачені кошти в сумі 47,000 тис. грн. Кошти  в сумі 6,000 тис. грн. спрямовуються на надання допомоги на поховання згідно Постанови Кабінету Міністрів від 31.01.2007 №99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Розмір допомоги на поховання  складає 3,000 тис. грн..</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Кошти в сумі 22,000 тис. грн. планується спрямувати на виплату матеріальної допомоги мобілізованим в зону АТО та їх сім'ям.</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Кошти в сумі 8,000 тис. грн. плануються для надання допомоги ветеранам та учасникам  Великої Вітчизняної війни.</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Кошти в сумі 11,000 тис. грн.  для надання допомоги малозабезпеченим  сім’ям </w:t>
      </w:r>
      <w:r>
        <w:rPr>
          <w:rFonts w:ascii="Times New Roman" w:hAnsi="Times New Roman"/>
          <w:color w:val="000000"/>
          <w:sz w:val="24"/>
          <w:szCs w:val="24"/>
          <w:lang w:val="uk-UA"/>
        </w:rPr>
        <w:t>громади</w:t>
      </w:r>
      <w:r w:rsidRPr="001D24B1">
        <w:rPr>
          <w:rFonts w:ascii="Times New Roman" w:hAnsi="Times New Roman"/>
          <w:color w:val="000000"/>
          <w:sz w:val="24"/>
          <w:szCs w:val="24"/>
          <w:lang w:val="uk-UA"/>
        </w:rPr>
        <w:t>.</w:t>
      </w:r>
    </w:p>
    <w:p w:rsidR="00322B58" w:rsidRPr="001D24B1" w:rsidRDefault="00322B58" w:rsidP="000B0427">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w:t>
      </w:r>
      <w:r>
        <w:rPr>
          <w:rFonts w:ascii="Times New Roman" w:hAnsi="Times New Roman"/>
          <w:color w:val="000000"/>
          <w:sz w:val="24"/>
          <w:szCs w:val="24"/>
          <w:lang w:val="uk-UA"/>
        </w:rPr>
        <w:t>на і</w:t>
      </w:r>
      <w:r w:rsidRPr="001D24B1">
        <w:rPr>
          <w:rFonts w:ascii="Times New Roman" w:hAnsi="Times New Roman"/>
          <w:color w:val="000000"/>
          <w:sz w:val="24"/>
          <w:szCs w:val="24"/>
          <w:lang w:val="uk-UA"/>
        </w:rPr>
        <w:t xml:space="preserve">нші виплати населенню </w:t>
      </w:r>
      <w:r>
        <w:rPr>
          <w:rFonts w:ascii="Times New Roman" w:hAnsi="Times New Roman"/>
          <w:color w:val="000000"/>
          <w:sz w:val="24"/>
          <w:szCs w:val="24"/>
          <w:lang w:val="uk-UA"/>
        </w:rPr>
        <w:t>планується 47,000 тис. грн.</w:t>
      </w:r>
    </w:p>
    <w:p w:rsidR="00322B58" w:rsidRPr="001D24B1" w:rsidRDefault="00322B58" w:rsidP="000B0427">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надходжень до місцевого бюджету.</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КУЛЬТУРА І МИСТЕЦТВО</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на утримання будинків культури та бібліотек заплановані у сумі 773,159 тис. грн.. Видатки спрямовано на виплату заробітної плати з нарахуваннями, придбання матеріалів, обладнання та інвентар та на оплату комунальних послуг та енергоносіїв. В складі видатків врахована  інша базова дотація з державного бюджету місцевим бюджетам в сумі 585,700 тис. грн..</w:t>
      </w:r>
    </w:p>
    <w:p w:rsidR="00322B58"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Забезпечення діяльності бібліотек</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утримання бібліотек в загальній сумі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і складають 190,984 тис. грн., що дає можливість забезпечити функціонування бібліотек. На заробітну плату виділено кошти у сумі 141,784 тис. грн.. На нарахування на заробітну плату до фондів виділено кошти в сумі 33,600 тис. грн... На оплату придбання матеріалів, обладнання та інвентар виділено і затверджено кошти в сумі 15,600 тис. грн..</w:t>
      </w:r>
    </w:p>
    <w:p w:rsidR="00322B58" w:rsidRPr="001D24B1" w:rsidRDefault="00322B58" w:rsidP="000B0427">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Згідно функціональної класифікації обсяг видатків складає 190,984 тис. грн., а саме:</w:t>
      </w:r>
    </w:p>
    <w:tbl>
      <w:tblPr>
        <w:tblW w:w="0" w:type="auto"/>
        <w:tblInd w:w="113" w:type="dxa"/>
        <w:tblLook w:val="00A0"/>
      </w:tblPr>
      <w:tblGrid>
        <w:gridCol w:w="4880"/>
        <w:gridCol w:w="1923"/>
      </w:tblGrid>
      <w:tr w:rsidR="00322B58" w:rsidRPr="00F82447" w:rsidTr="000B0427">
        <w:trPr>
          <w:trHeight w:val="259"/>
        </w:trPr>
        <w:tc>
          <w:tcPr>
            <w:tcW w:w="0" w:type="auto"/>
          </w:tcPr>
          <w:p w:rsidR="00322B58" w:rsidRPr="001D24B1" w:rsidRDefault="00322B58" w:rsidP="000B0427">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Заробітна плата</w:t>
            </w:r>
          </w:p>
        </w:tc>
        <w:tc>
          <w:tcPr>
            <w:tcW w:w="0" w:type="auto"/>
          </w:tcPr>
          <w:p w:rsidR="00322B58" w:rsidRPr="001D24B1" w:rsidRDefault="00322B58" w:rsidP="000B0427">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141,784 тис. грн.</w:t>
            </w:r>
          </w:p>
        </w:tc>
      </w:tr>
      <w:tr w:rsidR="00322B58" w:rsidRPr="00F82447" w:rsidTr="000B0427">
        <w:trPr>
          <w:trHeight w:val="259"/>
        </w:trPr>
        <w:tc>
          <w:tcPr>
            <w:tcW w:w="0" w:type="auto"/>
          </w:tcPr>
          <w:p w:rsidR="00322B58" w:rsidRPr="001D24B1" w:rsidRDefault="00322B58" w:rsidP="000B0427">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Нарахування на оплату праці</w:t>
            </w:r>
          </w:p>
        </w:tc>
        <w:tc>
          <w:tcPr>
            <w:tcW w:w="0" w:type="auto"/>
          </w:tcPr>
          <w:p w:rsidR="00322B58" w:rsidRPr="001D24B1" w:rsidRDefault="00322B58" w:rsidP="000B0427">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33,600 тис. грн.</w:t>
            </w:r>
          </w:p>
        </w:tc>
      </w:tr>
      <w:tr w:rsidR="00322B58" w:rsidRPr="00F82447" w:rsidTr="000B0427">
        <w:trPr>
          <w:trHeight w:val="259"/>
        </w:trPr>
        <w:tc>
          <w:tcPr>
            <w:tcW w:w="0" w:type="auto"/>
          </w:tcPr>
          <w:p w:rsidR="00322B58" w:rsidRPr="001D24B1" w:rsidRDefault="00322B58" w:rsidP="000B0427">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Предмети, матеріали, обладнання та інвентар</w:t>
            </w:r>
          </w:p>
        </w:tc>
        <w:tc>
          <w:tcPr>
            <w:tcW w:w="0" w:type="auto"/>
          </w:tcPr>
          <w:p w:rsidR="00322B58" w:rsidRPr="001D24B1" w:rsidRDefault="00322B58" w:rsidP="000B0427">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15,600 тис. грн.</w:t>
            </w:r>
          </w:p>
        </w:tc>
      </w:tr>
    </w:tbl>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Забезпечення діяльності палаців i будинків культури, клубів, центрів дозвілля та iнших клубних закладів</w:t>
      </w:r>
    </w:p>
    <w:p w:rsidR="00322B58" w:rsidRPr="001D24B1" w:rsidRDefault="00322B58" w:rsidP="00CC252D">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Буцькою об’єднаною територіальною громадою прийнято рішення забезпечити повноцінне функціонування будинків культури і затвердити видаткову частину в сумі 582,175 тис. грн.. На заробітну плату виділено кошти в сумі 321,114 тис. грн.. На нарахування на заробітну плату виділено 79,756 тис.  грн., що є прямо пропорційно до фонду заробітної плати. На оплату комунальних послуг та енергоносіїв виділено кошти в сумі 128,305 тис. грн.. </w:t>
      </w:r>
    </w:p>
    <w:p w:rsidR="00322B58" w:rsidRPr="001D24B1" w:rsidRDefault="00322B58" w:rsidP="001B3039">
      <w:pPr>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На оплату придбання матеріалів, обладнання та інвентар виділено і затверджено кошти в сумі 45,000 тис. грн.. </w:t>
      </w:r>
    </w:p>
    <w:p w:rsidR="00322B58" w:rsidRPr="001D24B1" w:rsidRDefault="00322B58" w:rsidP="000B0427">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Згідно функціональної класифікації обсяг видатків складає 582,175 тис. грн., а саме:</w:t>
      </w:r>
    </w:p>
    <w:tbl>
      <w:tblPr>
        <w:tblW w:w="0" w:type="auto"/>
        <w:tblInd w:w="113" w:type="dxa"/>
        <w:tblLook w:val="00A0"/>
      </w:tblPr>
      <w:tblGrid>
        <w:gridCol w:w="4880"/>
        <w:gridCol w:w="1923"/>
      </w:tblGrid>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Заробітна плата</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321,114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Нарахування на оплату праці</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79,756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Предмети, матеріали, обладнання та інвентар</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45,000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послуг (крім комунальних)</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8,000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електроенергії</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37,500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інших енергоносіїв</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90,805 тис. грн.</w:t>
            </w:r>
          </w:p>
        </w:tc>
      </w:tr>
    </w:tbl>
    <w:p w:rsidR="00322B58" w:rsidRPr="001D24B1" w:rsidRDefault="00322B58" w:rsidP="00C33F96">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Pr>
          <w:rFonts w:ascii="Times New Roman" w:hAnsi="Times New Roman"/>
          <w:color w:val="000000"/>
          <w:sz w:val="24"/>
          <w:szCs w:val="24"/>
          <w:lang w:val="uk-UA"/>
        </w:rPr>
        <w:t>Видатки</w:t>
      </w:r>
      <w:r w:rsidRPr="001D24B1">
        <w:rPr>
          <w:rFonts w:ascii="Times New Roman" w:hAnsi="Times New Roman"/>
          <w:color w:val="000000"/>
          <w:sz w:val="24"/>
          <w:szCs w:val="24"/>
          <w:lang w:val="uk-UA"/>
        </w:rPr>
        <w:t xml:space="preserve"> здійснюватимуться за рахунок надходжень до місцевого бюджету.</w:t>
      </w:r>
    </w:p>
    <w:p w:rsidR="00322B58" w:rsidRPr="001D24B1" w:rsidRDefault="00322B58" w:rsidP="00CC5EC0">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ЖИТЛОВО-КОМУНАЛЬНЕ ГОСПОДАРСТВО</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Організація благоустрою населених пунктів</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На благоустрій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заплановано видатки в сумі 396,947 тис. грн.. Асигнування на оплату праці з нарахуваннями  в сумі 200,130 тис. грн. та, на розрахунки за спожиті енергоносії  в сумі 86,580 тис. грн. забезпечені фінансуванням в повному обсязі.</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       На інші видатки по галузі передбачені кошти у сумі 101, 837 тис. грн.</w:t>
      </w:r>
      <w:r>
        <w:rPr>
          <w:rFonts w:ascii="Times New Roman" w:hAnsi="Times New Roman"/>
          <w:color w:val="000000"/>
          <w:sz w:val="24"/>
          <w:szCs w:val="24"/>
          <w:lang w:val="uk-UA"/>
        </w:rPr>
        <w:t>,</w:t>
      </w:r>
      <w:r w:rsidRPr="001D24B1">
        <w:rPr>
          <w:rFonts w:ascii="Times New Roman" w:hAnsi="Times New Roman"/>
          <w:color w:val="000000"/>
          <w:sz w:val="24"/>
          <w:szCs w:val="24"/>
          <w:lang w:val="uk-UA"/>
        </w:rPr>
        <w:t xml:space="preserve"> на сплату зборів за забруднення заплановано в сумі 8,400 тис. грн.</w:t>
      </w:r>
    </w:p>
    <w:p w:rsidR="00322B58" w:rsidRPr="001D24B1" w:rsidRDefault="00322B58" w:rsidP="00C33F96">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Згідно функціональної класифікації обсяг видатків складає 396,947 тис. грн., а саме:</w:t>
      </w:r>
    </w:p>
    <w:tbl>
      <w:tblPr>
        <w:tblW w:w="0" w:type="auto"/>
        <w:tblInd w:w="113" w:type="dxa"/>
        <w:tblLook w:val="00A0"/>
      </w:tblPr>
      <w:tblGrid>
        <w:gridCol w:w="4880"/>
        <w:gridCol w:w="1923"/>
      </w:tblGrid>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Заробітна плата</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164,087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Нарахування на оплату праці</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36,043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Предмети, матеріали, обладнання та інвентар</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61,500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послуг (крім комунальних)</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40,337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Оплата електроенергії</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86,580 тис. грн.</w:t>
            </w:r>
          </w:p>
        </w:tc>
      </w:tr>
      <w:tr w:rsidR="00322B58" w:rsidRPr="00F82447" w:rsidTr="00C33F96">
        <w:trPr>
          <w:trHeight w:val="259"/>
        </w:trPr>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Інші поточні видатки</w:t>
            </w:r>
          </w:p>
        </w:tc>
        <w:tc>
          <w:tcPr>
            <w:tcW w:w="0" w:type="auto"/>
          </w:tcPr>
          <w:p w:rsidR="00322B58" w:rsidRPr="001D24B1" w:rsidRDefault="00322B58" w:rsidP="00C33F96">
            <w:pPr>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8,400 тис. грн.</w:t>
            </w:r>
          </w:p>
        </w:tc>
      </w:tr>
    </w:tbl>
    <w:p w:rsidR="00322B58" w:rsidRPr="001D24B1" w:rsidRDefault="00322B58" w:rsidP="00C33F96">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надходжень до місцевого бюджету.</w:t>
      </w:r>
    </w:p>
    <w:p w:rsidR="00322B58" w:rsidRPr="001D24B1" w:rsidRDefault="00322B58" w:rsidP="00CC5EC0">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ЕКОНОМІЧНА ДІЯЛЬНІСТЬ</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Здійснення  заходів із землеустрою</w:t>
      </w:r>
    </w:p>
    <w:p w:rsidR="00322B58" w:rsidRDefault="00322B58" w:rsidP="003F1B2C">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видатки на </w:t>
      </w:r>
      <w:r>
        <w:rPr>
          <w:rFonts w:ascii="Times New Roman" w:hAnsi="Times New Roman"/>
          <w:color w:val="000000"/>
          <w:sz w:val="24"/>
          <w:szCs w:val="24"/>
          <w:lang w:val="uk-UA"/>
        </w:rPr>
        <w:t>о</w:t>
      </w:r>
      <w:r w:rsidRPr="001D24B1">
        <w:rPr>
          <w:rFonts w:ascii="Times New Roman" w:hAnsi="Times New Roman"/>
          <w:color w:val="000000"/>
          <w:sz w:val="24"/>
          <w:szCs w:val="24"/>
          <w:lang w:val="uk-UA"/>
        </w:rPr>
        <w:t xml:space="preserve">кремі заходи по реалізації державних (регіональних) програм, не віднесені до заходів розвитку </w:t>
      </w:r>
      <w:r>
        <w:rPr>
          <w:rFonts w:ascii="Times New Roman" w:hAnsi="Times New Roman"/>
          <w:color w:val="000000"/>
          <w:sz w:val="24"/>
          <w:szCs w:val="24"/>
          <w:lang w:val="uk-UA"/>
        </w:rPr>
        <w:t xml:space="preserve">заплановано в сумі </w:t>
      </w:r>
      <w:r w:rsidRPr="001D24B1">
        <w:rPr>
          <w:rFonts w:ascii="Times New Roman" w:hAnsi="Times New Roman"/>
          <w:color w:val="000000"/>
          <w:sz w:val="24"/>
          <w:szCs w:val="24"/>
          <w:lang w:val="uk-UA"/>
        </w:rPr>
        <w:t>109,750 тис. грн.</w:t>
      </w:r>
      <w:r>
        <w:rPr>
          <w:rFonts w:ascii="Times New Roman" w:hAnsi="Times New Roman"/>
          <w:color w:val="000000"/>
          <w:sz w:val="24"/>
          <w:szCs w:val="24"/>
          <w:lang w:val="uk-UA"/>
        </w:rPr>
        <w:t xml:space="preserve">. Видатки передбачено на </w:t>
      </w:r>
      <w:r w:rsidRPr="001D24B1">
        <w:rPr>
          <w:rFonts w:ascii="Times New Roman" w:hAnsi="Times New Roman"/>
          <w:color w:val="000000"/>
          <w:sz w:val="24"/>
          <w:szCs w:val="24"/>
          <w:lang w:val="uk-UA"/>
        </w:rPr>
        <w:t>аерознімання та виготовлення топографічного плану селища Буки</w:t>
      </w:r>
      <w:r>
        <w:rPr>
          <w:rFonts w:ascii="Times New Roman" w:hAnsi="Times New Roman"/>
          <w:color w:val="000000"/>
          <w:sz w:val="24"/>
          <w:szCs w:val="24"/>
          <w:lang w:val="uk-UA"/>
        </w:rPr>
        <w:t xml:space="preserve">. </w:t>
      </w:r>
    </w:p>
    <w:p w:rsidR="00322B58" w:rsidRPr="001D24B1" w:rsidRDefault="00322B58" w:rsidP="003F1B2C">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надходжень до місцевого бюджету.</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Утримання та розвиток автомобільних доріг та дорожньої інфраструктури за рахунок коштів місцевого бюджету</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 утримання та розвиток автомобільних доріг та дорожньої інфраструктури за рахунок коштів місцевого бюджету заплановано видатки в сумі 1238,000 тис. грн., з них:</w:t>
      </w:r>
    </w:p>
    <w:p w:rsidR="00322B58" w:rsidRPr="001D24B1" w:rsidRDefault="00322B58" w:rsidP="00CC252D">
      <w:pPr>
        <w:pStyle w:val="ListParagraph"/>
        <w:numPr>
          <w:ilvl w:val="0"/>
          <w:numId w:val="2"/>
        </w:numPr>
        <w:shd w:val="clear" w:color="auto" w:fill="FFFFFF"/>
        <w:autoSpaceDE w:val="0"/>
        <w:autoSpaceDN w:val="0"/>
        <w:adjustRightInd w:val="0"/>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на зимове утримання доріг заплановано видатки в сумі 190,000 тис. грн.</w:t>
      </w:r>
    </w:p>
    <w:p w:rsidR="00322B58" w:rsidRPr="001D24B1" w:rsidRDefault="00322B58" w:rsidP="00CC252D">
      <w:pPr>
        <w:pStyle w:val="ListParagraph"/>
        <w:numPr>
          <w:ilvl w:val="0"/>
          <w:numId w:val="2"/>
        </w:numPr>
        <w:shd w:val="clear" w:color="auto" w:fill="FFFFFF"/>
        <w:autoSpaceDE w:val="0"/>
        <w:autoSpaceDN w:val="0"/>
        <w:adjustRightInd w:val="0"/>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на поточний ремонт вулиць та тротуарів </w:t>
      </w:r>
      <w:r>
        <w:rPr>
          <w:rFonts w:ascii="Times New Roman" w:hAnsi="Times New Roman"/>
          <w:color w:val="000000"/>
          <w:sz w:val="24"/>
          <w:szCs w:val="24"/>
          <w:lang w:val="uk-UA"/>
        </w:rPr>
        <w:t>громади</w:t>
      </w:r>
      <w:r w:rsidRPr="001D24B1">
        <w:rPr>
          <w:rFonts w:ascii="Times New Roman" w:hAnsi="Times New Roman"/>
          <w:color w:val="000000"/>
          <w:sz w:val="24"/>
          <w:szCs w:val="24"/>
          <w:lang w:val="uk-UA"/>
        </w:rPr>
        <w:t xml:space="preserve"> 1049,000 тис. грн.</w:t>
      </w:r>
    </w:p>
    <w:p w:rsidR="00322B58" w:rsidRPr="001D24B1" w:rsidRDefault="00322B58" w:rsidP="003A090E">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w:t>
      </w:r>
      <w:r>
        <w:rPr>
          <w:rFonts w:ascii="Times New Roman" w:hAnsi="Times New Roman"/>
          <w:color w:val="000000"/>
          <w:sz w:val="24"/>
          <w:szCs w:val="24"/>
          <w:lang w:val="uk-UA"/>
        </w:rPr>
        <w:t xml:space="preserve">на оплату </w:t>
      </w:r>
      <w:r w:rsidRPr="001D24B1">
        <w:rPr>
          <w:rFonts w:ascii="Times New Roman" w:hAnsi="Times New Roman"/>
          <w:color w:val="000000"/>
          <w:sz w:val="24"/>
          <w:szCs w:val="24"/>
          <w:lang w:val="uk-UA"/>
        </w:rPr>
        <w:t>послуг (крім комунальних)</w:t>
      </w:r>
      <w:r>
        <w:rPr>
          <w:rFonts w:ascii="Times New Roman" w:hAnsi="Times New Roman"/>
          <w:color w:val="000000"/>
          <w:sz w:val="24"/>
          <w:szCs w:val="24"/>
          <w:lang w:val="uk-UA"/>
        </w:rPr>
        <w:t xml:space="preserve"> </w:t>
      </w:r>
      <w:r w:rsidRPr="001D24B1">
        <w:rPr>
          <w:rFonts w:ascii="Times New Roman" w:hAnsi="Times New Roman"/>
          <w:color w:val="000000"/>
          <w:sz w:val="24"/>
          <w:szCs w:val="24"/>
          <w:lang w:val="uk-UA"/>
        </w:rPr>
        <w:t>обсяг видатків скл</w:t>
      </w:r>
      <w:r>
        <w:rPr>
          <w:rFonts w:ascii="Times New Roman" w:hAnsi="Times New Roman"/>
          <w:color w:val="000000"/>
          <w:sz w:val="24"/>
          <w:szCs w:val="24"/>
          <w:lang w:val="uk-UA"/>
        </w:rPr>
        <w:t>адає 1238,000 тис. грн.</w:t>
      </w:r>
    </w:p>
    <w:p w:rsidR="00322B58" w:rsidRPr="001D24B1" w:rsidRDefault="00322B58" w:rsidP="003A090E">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надходжень до місцевого бюджету.</w:t>
      </w:r>
    </w:p>
    <w:p w:rsidR="00322B58" w:rsidRPr="001D24B1" w:rsidRDefault="00322B58" w:rsidP="0044609F">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МІЖБЮДЖЕТНІ ТРАНСФЕРТИ</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поточні трансферти органам державного управління інших рівнів   заплановані 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в сумі 192,830 тис. грн., а саме:</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138,70</w:t>
      </w:r>
      <w:r>
        <w:rPr>
          <w:rFonts w:ascii="Times New Roman" w:hAnsi="Times New Roman"/>
          <w:color w:val="000000"/>
          <w:sz w:val="24"/>
          <w:szCs w:val="24"/>
          <w:lang w:val="uk-UA"/>
        </w:rPr>
        <w:t>0</w:t>
      </w:r>
      <w:r w:rsidRPr="001D24B1">
        <w:rPr>
          <w:rFonts w:ascii="Times New Roman" w:hAnsi="Times New Roman"/>
          <w:color w:val="000000"/>
          <w:sz w:val="24"/>
          <w:szCs w:val="24"/>
          <w:lang w:val="uk-UA"/>
        </w:rPr>
        <w:t xml:space="preserve"> тис. грн. – на фінансування районної  міжгалузевої комплексної програми  «Здоров’я населення Маньківщини на 2004-2018 роки»</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54,1</w:t>
      </w:r>
      <w:r>
        <w:rPr>
          <w:rFonts w:ascii="Times New Roman" w:hAnsi="Times New Roman"/>
          <w:color w:val="000000"/>
          <w:sz w:val="24"/>
          <w:szCs w:val="24"/>
          <w:lang w:val="uk-UA"/>
        </w:rPr>
        <w:t>30</w:t>
      </w:r>
      <w:r w:rsidRPr="001D24B1">
        <w:rPr>
          <w:rFonts w:ascii="Times New Roman" w:hAnsi="Times New Roman"/>
          <w:color w:val="000000"/>
          <w:sz w:val="24"/>
          <w:szCs w:val="24"/>
          <w:lang w:val="uk-UA"/>
        </w:rPr>
        <w:t xml:space="preserve"> тис. грн. – на фінансування програми розвитку загальної середньої освіти Маньківського району на 2008-2020 роки.</w:t>
      </w:r>
    </w:p>
    <w:p w:rsidR="00322B58" w:rsidRPr="001D24B1" w:rsidRDefault="00322B58" w:rsidP="003A090E">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w:t>
      </w:r>
      <w:r>
        <w:rPr>
          <w:rFonts w:ascii="Times New Roman" w:hAnsi="Times New Roman"/>
          <w:color w:val="000000"/>
          <w:sz w:val="24"/>
          <w:szCs w:val="24"/>
          <w:lang w:val="uk-UA"/>
        </w:rPr>
        <w:t>на п</w:t>
      </w:r>
      <w:r w:rsidRPr="001D24B1">
        <w:rPr>
          <w:rFonts w:ascii="Times New Roman" w:hAnsi="Times New Roman"/>
          <w:color w:val="000000"/>
          <w:sz w:val="24"/>
          <w:szCs w:val="24"/>
          <w:lang w:val="uk-UA"/>
        </w:rPr>
        <w:t>оточні трансферти органам державного управління інших рівнів обсяг видатків ск</w:t>
      </w:r>
      <w:r>
        <w:rPr>
          <w:rFonts w:ascii="Times New Roman" w:hAnsi="Times New Roman"/>
          <w:color w:val="000000"/>
          <w:sz w:val="24"/>
          <w:szCs w:val="24"/>
          <w:lang w:val="uk-UA"/>
        </w:rPr>
        <w:t>ладає 192,830 тис. грн..</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за рахунок додаткової дотації з державного бюджету.</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Субвенція з місцевого бюджету на здійснення переданих видатків у сфері освіти за рахунок коштів освітньої субвенції</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поточні трансферти органам державного управління інших рівнів   заплановані 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на фінансування програми розвитку загальної середньої освіти Маньківського району на 2008-2020 роки в сумі 1135,200 тис. грн..</w:t>
      </w:r>
    </w:p>
    <w:p w:rsidR="00322B58" w:rsidRPr="001D24B1" w:rsidRDefault="00322B58" w:rsidP="003A090E">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w:t>
      </w:r>
      <w:r>
        <w:rPr>
          <w:rFonts w:ascii="Times New Roman" w:hAnsi="Times New Roman"/>
          <w:color w:val="000000"/>
          <w:sz w:val="24"/>
          <w:szCs w:val="24"/>
          <w:lang w:val="uk-UA"/>
        </w:rPr>
        <w:t>на п</w:t>
      </w:r>
      <w:r w:rsidRPr="001D24B1">
        <w:rPr>
          <w:rFonts w:ascii="Times New Roman" w:hAnsi="Times New Roman"/>
          <w:color w:val="000000"/>
          <w:sz w:val="24"/>
          <w:szCs w:val="24"/>
          <w:lang w:val="uk-UA"/>
        </w:rPr>
        <w:t>оточні трансферти органам державного управління інших рівнів обсяг видатків ск</w:t>
      </w:r>
      <w:r>
        <w:rPr>
          <w:rFonts w:ascii="Times New Roman" w:hAnsi="Times New Roman"/>
          <w:color w:val="000000"/>
          <w:sz w:val="24"/>
          <w:szCs w:val="24"/>
          <w:lang w:val="uk-UA"/>
        </w:rPr>
        <w:t>ладає 1135,200 тис. грн..</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коштів освітньої субвенції.</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Субвенція з місцевого бюджету на здійснення переданих видатків у сфері охорони здоров’я за рахунок коштів медичної субвенції</w:t>
      </w:r>
    </w:p>
    <w:p w:rsidR="00322B58" w:rsidRPr="001D24B1" w:rsidRDefault="00322B58" w:rsidP="005F6A96">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поточні трансферти органам державного управління інших рівнів   заплановані 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надання медичних послуг первинної та вторинної медицини жителям об’єднаної територіальної громади за рахунок міжбюджетних трансфертів з бюджету об’єднаної територіальної громади в сумі 2108,000 тис. грн..</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коштів медичної субвенції.</w:t>
      </w:r>
    </w:p>
    <w:p w:rsidR="00322B58" w:rsidRPr="001D24B1" w:rsidRDefault="00322B58" w:rsidP="00624B35">
      <w:pPr>
        <w:shd w:val="clear" w:color="auto" w:fill="FFFFFF"/>
        <w:autoSpaceDE w:val="0"/>
        <w:autoSpaceDN w:val="0"/>
        <w:adjustRightInd w:val="0"/>
        <w:spacing w:before="240"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w:t>
      </w:r>
      <w:r>
        <w:rPr>
          <w:rFonts w:ascii="Times New Roman" w:hAnsi="Times New Roman"/>
          <w:color w:val="000000"/>
          <w:sz w:val="24"/>
          <w:szCs w:val="24"/>
          <w:lang w:val="uk-UA"/>
        </w:rPr>
        <w:t>в</w:t>
      </w:r>
      <w:r w:rsidRPr="001D24B1">
        <w:rPr>
          <w:rFonts w:ascii="Times New Roman" w:hAnsi="Times New Roman"/>
          <w:color w:val="000000"/>
          <w:sz w:val="24"/>
          <w:szCs w:val="24"/>
          <w:lang w:val="uk-UA"/>
        </w:rPr>
        <w:t xml:space="preserve">идатки на поточні трансферти органам державного управління інших рівнів   заплановані 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на фінансування районної міжгалузевої комплексної програми  «Здоров’я населення Маньківщини на 2004-2018 роки» в сумі 44,769 тис. грн., які будуть використані на відшкодування вартості лікарських засобів.</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відповідної субвенції з державного бюджету.</w:t>
      </w:r>
    </w:p>
    <w:p w:rsidR="00322B58" w:rsidRPr="001D24B1" w:rsidRDefault="00322B58" w:rsidP="00624B35">
      <w:pPr>
        <w:shd w:val="clear" w:color="auto" w:fill="FFFFFF"/>
        <w:autoSpaceDE w:val="0"/>
        <w:autoSpaceDN w:val="0"/>
        <w:adjustRightInd w:val="0"/>
        <w:spacing w:after="0"/>
        <w:ind w:firstLine="709"/>
        <w:jc w:val="center"/>
        <w:rPr>
          <w:rFonts w:ascii="Times New Roman" w:hAnsi="Times New Roman"/>
          <w:b/>
          <w:color w:val="000000"/>
          <w:sz w:val="24"/>
          <w:szCs w:val="24"/>
          <w:lang w:val="uk-UA"/>
        </w:rPr>
      </w:pPr>
      <w:r w:rsidRPr="001D24B1">
        <w:rPr>
          <w:rFonts w:ascii="Times New Roman" w:hAnsi="Times New Roman"/>
          <w:b/>
          <w:color w:val="000000"/>
          <w:sz w:val="24"/>
          <w:szCs w:val="24"/>
          <w:lang w:val="uk-UA"/>
        </w:rPr>
        <w:t>Інші субвенції з місцевого бюджету</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на поточні трансферти органам державного управління інших рівнів   заплановані і затверджені рішенням </w:t>
      </w:r>
      <w:r>
        <w:rPr>
          <w:rFonts w:ascii="Times New Roman" w:hAnsi="Times New Roman"/>
          <w:color w:val="000000"/>
          <w:sz w:val="24"/>
          <w:szCs w:val="24"/>
          <w:lang w:val="uk-UA"/>
        </w:rPr>
        <w:t>об’єднаної територіальної громади</w:t>
      </w:r>
      <w:r w:rsidRPr="001D24B1">
        <w:rPr>
          <w:rFonts w:ascii="Times New Roman" w:hAnsi="Times New Roman"/>
          <w:color w:val="000000"/>
          <w:sz w:val="24"/>
          <w:szCs w:val="24"/>
          <w:lang w:val="uk-UA"/>
        </w:rPr>
        <w:t xml:space="preserve"> в сумі 1941,345 тис. грн., а саме:</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816,596 тис. грн. – на фінансування закладів охорони здоров’я </w:t>
      </w:r>
    </w:p>
    <w:p w:rsidR="00322B58" w:rsidRPr="001D24B1" w:rsidRDefault="00322B58" w:rsidP="00CC252D">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755,975 тис. грн. – на фінансування закладів загальної середньої освіти .</w:t>
      </w:r>
    </w:p>
    <w:p w:rsidR="00322B58" w:rsidRPr="001D24B1" w:rsidRDefault="00322B58" w:rsidP="005828FA">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Обсяг субвенції з місцевого бюджету на фінансування Маньківського територіального центру соціального забезпечення складає 368,774 тис. грн..</w:t>
      </w:r>
    </w:p>
    <w:p w:rsidR="00322B58" w:rsidRPr="001D24B1" w:rsidRDefault="00322B58" w:rsidP="0057544B">
      <w:pPr>
        <w:spacing w:after="0"/>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Згідно функціональної класифікації </w:t>
      </w:r>
      <w:r>
        <w:rPr>
          <w:rFonts w:ascii="Times New Roman" w:hAnsi="Times New Roman"/>
          <w:color w:val="000000"/>
          <w:sz w:val="24"/>
          <w:szCs w:val="24"/>
          <w:lang w:val="uk-UA"/>
        </w:rPr>
        <w:t>на п</w:t>
      </w:r>
      <w:r w:rsidRPr="001D24B1">
        <w:rPr>
          <w:rFonts w:ascii="Times New Roman" w:hAnsi="Times New Roman"/>
          <w:color w:val="000000"/>
          <w:sz w:val="24"/>
          <w:szCs w:val="24"/>
          <w:lang w:val="uk-UA"/>
        </w:rPr>
        <w:t xml:space="preserve">оточні трансферти органам державного управління інших рівнів обсяг видатків складає </w:t>
      </w:r>
      <w:r>
        <w:rPr>
          <w:rFonts w:ascii="Times New Roman" w:hAnsi="Times New Roman"/>
          <w:color w:val="000000"/>
          <w:sz w:val="24"/>
          <w:szCs w:val="24"/>
          <w:lang w:val="uk-UA"/>
        </w:rPr>
        <w:t>1941,345 тис. грн..</w:t>
      </w:r>
    </w:p>
    <w:p w:rsidR="00322B58" w:rsidRPr="001D24B1" w:rsidRDefault="00322B58" w:rsidP="0057544B">
      <w:pPr>
        <w:shd w:val="clear" w:color="auto" w:fill="FFFFFF"/>
        <w:autoSpaceDE w:val="0"/>
        <w:autoSpaceDN w:val="0"/>
        <w:adjustRightInd w:val="0"/>
        <w:spacing w:after="0"/>
        <w:ind w:firstLine="709"/>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Видатки здійснюватимуться за рахунок надходжень до місцевого бюджету.</w:t>
      </w:r>
    </w:p>
    <w:p w:rsidR="00322B58" w:rsidRPr="001D24B1" w:rsidRDefault="00322B58" w:rsidP="009151FA">
      <w:pPr>
        <w:shd w:val="clear" w:color="auto" w:fill="FFFFFF"/>
        <w:autoSpaceDE w:val="0"/>
        <w:autoSpaceDN w:val="0"/>
        <w:adjustRightInd w:val="0"/>
        <w:spacing w:before="240" w:after="0"/>
        <w:ind w:firstLine="709"/>
        <w:jc w:val="center"/>
        <w:rPr>
          <w:rFonts w:ascii="Times New Roman" w:hAnsi="Times New Roman"/>
          <w:b/>
          <w:sz w:val="24"/>
          <w:szCs w:val="24"/>
          <w:lang w:val="uk-UA"/>
        </w:rPr>
      </w:pPr>
      <w:r w:rsidRPr="001D24B1">
        <w:rPr>
          <w:rFonts w:ascii="Times New Roman" w:hAnsi="Times New Roman"/>
          <w:b/>
          <w:color w:val="000000"/>
          <w:sz w:val="24"/>
          <w:szCs w:val="24"/>
          <w:lang w:val="uk-UA"/>
        </w:rPr>
        <w:t>Спеціальний фонд</w:t>
      </w:r>
    </w:p>
    <w:p w:rsidR="00322B58" w:rsidRPr="001D24B1" w:rsidRDefault="00322B58" w:rsidP="00624B3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Видатки спеціального фонду складають 115,700 тис. грн.. </w:t>
      </w:r>
    </w:p>
    <w:p w:rsidR="00322B58" w:rsidRPr="001D24B1" w:rsidRDefault="00322B58" w:rsidP="00624B3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В складі видатків спеціального фонду: </w:t>
      </w:r>
    </w:p>
    <w:p w:rsidR="00322B58" w:rsidRPr="001D24B1" w:rsidRDefault="00322B58" w:rsidP="00CC252D">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77,000 тис. грн. – власні надходження бюджетних установ з них: </w:t>
      </w:r>
    </w:p>
    <w:p w:rsidR="00322B58" w:rsidRPr="001D24B1" w:rsidRDefault="00322B58" w:rsidP="00CC252D">
      <w:pPr>
        <w:shd w:val="clear" w:color="auto" w:fill="FFFFFF"/>
        <w:autoSpaceDE w:val="0"/>
        <w:autoSpaceDN w:val="0"/>
        <w:adjustRightInd w:val="0"/>
        <w:spacing w:after="0" w:line="240" w:lineRule="auto"/>
        <w:ind w:left="1416"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75,000 тис. грн. – на харчування дітей дошкільного закладу,</w:t>
      </w:r>
    </w:p>
    <w:p w:rsidR="00322B58" w:rsidRPr="001D24B1" w:rsidRDefault="00322B58" w:rsidP="00CC252D">
      <w:pPr>
        <w:shd w:val="clear" w:color="auto" w:fill="FFFFFF"/>
        <w:autoSpaceDE w:val="0"/>
        <w:autoSpaceDN w:val="0"/>
        <w:adjustRightInd w:val="0"/>
        <w:spacing w:after="0" w:line="240" w:lineRule="auto"/>
        <w:ind w:left="1416"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2,000 тис. грн.</w:t>
      </w:r>
      <w:r>
        <w:rPr>
          <w:rFonts w:ascii="Times New Roman" w:hAnsi="Times New Roman"/>
          <w:color w:val="000000"/>
          <w:sz w:val="24"/>
          <w:szCs w:val="24"/>
          <w:lang w:val="uk-UA"/>
        </w:rPr>
        <w:t xml:space="preserve"> – на придбання </w:t>
      </w:r>
      <w:r w:rsidRPr="001D24B1">
        <w:rPr>
          <w:rFonts w:ascii="Times New Roman" w:hAnsi="Times New Roman"/>
          <w:color w:val="000000"/>
          <w:sz w:val="24"/>
          <w:szCs w:val="24"/>
          <w:lang w:val="uk-UA"/>
        </w:rPr>
        <w:t xml:space="preserve">товарів для будинку культури. </w:t>
      </w:r>
    </w:p>
    <w:p w:rsidR="00322B58" w:rsidRPr="001D24B1" w:rsidRDefault="00322B58" w:rsidP="00CC252D">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 xml:space="preserve">14,400 тис. грн. –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 (на утримання пам’ятників, обелісків, благоустрій населених пунктів та кладовищ). </w:t>
      </w:r>
    </w:p>
    <w:p w:rsidR="00322B58" w:rsidRPr="001D24B1" w:rsidRDefault="00322B58" w:rsidP="00CC252D">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1D24B1">
        <w:rPr>
          <w:rFonts w:ascii="Times New Roman" w:hAnsi="Times New Roman"/>
          <w:color w:val="000000"/>
          <w:sz w:val="24"/>
          <w:szCs w:val="24"/>
          <w:lang w:val="uk-UA"/>
        </w:rPr>
        <w:t>24,300 тис. грн. – на іншу діяльність у сфері охорони навколишнього природного середовища на придбання саджанців.</w:t>
      </w:r>
    </w:p>
    <w:p w:rsidR="00322B58" w:rsidRPr="001D24B1" w:rsidRDefault="00322B58" w:rsidP="00EF6EC0">
      <w:pPr>
        <w:shd w:val="clear" w:color="auto" w:fill="FFFFFF"/>
        <w:autoSpaceDE w:val="0"/>
        <w:autoSpaceDN w:val="0"/>
        <w:adjustRightInd w:val="0"/>
        <w:spacing w:after="0"/>
        <w:jc w:val="both"/>
        <w:rPr>
          <w:rFonts w:ascii="Times New Roman" w:hAnsi="Times New Roman"/>
          <w:color w:val="000000"/>
          <w:sz w:val="24"/>
          <w:szCs w:val="24"/>
          <w:lang w:val="uk-UA"/>
        </w:rPr>
      </w:pPr>
    </w:p>
    <w:p w:rsidR="00322B58" w:rsidRPr="001D24B1" w:rsidRDefault="00322B58" w:rsidP="00EF6EC0">
      <w:pPr>
        <w:shd w:val="clear" w:color="auto" w:fill="FFFFFF"/>
        <w:autoSpaceDE w:val="0"/>
        <w:autoSpaceDN w:val="0"/>
        <w:adjustRightInd w:val="0"/>
        <w:spacing w:after="0"/>
        <w:jc w:val="both"/>
        <w:rPr>
          <w:rFonts w:ascii="Times New Roman" w:hAnsi="Times New Roman"/>
          <w:color w:val="000000"/>
          <w:sz w:val="24"/>
          <w:szCs w:val="24"/>
          <w:lang w:val="uk-UA"/>
        </w:rPr>
      </w:pPr>
    </w:p>
    <w:p w:rsidR="00322B58" w:rsidRPr="001D24B1" w:rsidRDefault="00322B58" w:rsidP="00EF6EC0">
      <w:pPr>
        <w:shd w:val="clear" w:color="auto" w:fill="FFFFFF"/>
        <w:autoSpaceDE w:val="0"/>
        <w:autoSpaceDN w:val="0"/>
        <w:adjustRightInd w:val="0"/>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Селищний голова</w:t>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t>С.С.Залізняк</w:t>
      </w:r>
    </w:p>
    <w:p w:rsidR="00322B58" w:rsidRPr="001D24B1" w:rsidRDefault="00322B58" w:rsidP="00EF6EC0">
      <w:pPr>
        <w:shd w:val="clear" w:color="auto" w:fill="FFFFFF"/>
        <w:autoSpaceDE w:val="0"/>
        <w:autoSpaceDN w:val="0"/>
        <w:adjustRightInd w:val="0"/>
        <w:spacing w:after="0"/>
        <w:jc w:val="both"/>
        <w:rPr>
          <w:rFonts w:ascii="Times New Roman" w:hAnsi="Times New Roman"/>
          <w:color w:val="000000"/>
          <w:sz w:val="24"/>
          <w:szCs w:val="24"/>
          <w:lang w:val="uk-UA"/>
        </w:rPr>
      </w:pPr>
    </w:p>
    <w:p w:rsidR="00322B58" w:rsidRPr="001D24B1" w:rsidRDefault="00322B58" w:rsidP="00EF6EC0">
      <w:pPr>
        <w:shd w:val="clear" w:color="auto" w:fill="FFFFFF"/>
        <w:autoSpaceDE w:val="0"/>
        <w:autoSpaceDN w:val="0"/>
        <w:adjustRightInd w:val="0"/>
        <w:spacing w:after="0"/>
        <w:jc w:val="both"/>
        <w:rPr>
          <w:rFonts w:ascii="Times New Roman" w:hAnsi="Times New Roman"/>
          <w:color w:val="000000"/>
          <w:sz w:val="24"/>
          <w:szCs w:val="24"/>
          <w:lang w:val="uk-UA"/>
        </w:rPr>
      </w:pPr>
    </w:p>
    <w:p w:rsidR="00322B58" w:rsidRPr="001D24B1" w:rsidRDefault="00322B58" w:rsidP="00EF6EC0">
      <w:pPr>
        <w:shd w:val="clear" w:color="auto" w:fill="FFFFFF"/>
        <w:autoSpaceDE w:val="0"/>
        <w:autoSpaceDN w:val="0"/>
        <w:adjustRightInd w:val="0"/>
        <w:spacing w:after="0"/>
        <w:jc w:val="both"/>
        <w:rPr>
          <w:rFonts w:ascii="Times New Roman" w:hAnsi="Times New Roman"/>
          <w:color w:val="000000"/>
          <w:sz w:val="24"/>
          <w:szCs w:val="24"/>
          <w:lang w:val="uk-UA"/>
        </w:rPr>
      </w:pPr>
      <w:r w:rsidRPr="001D24B1">
        <w:rPr>
          <w:rFonts w:ascii="Times New Roman" w:hAnsi="Times New Roman"/>
          <w:color w:val="000000"/>
          <w:sz w:val="24"/>
          <w:szCs w:val="24"/>
          <w:lang w:val="uk-UA"/>
        </w:rPr>
        <w:t>Головний бухгалтер</w:t>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t>В.В.Котенко</w:t>
      </w:r>
      <w:r w:rsidRPr="001D24B1">
        <w:rPr>
          <w:rFonts w:ascii="Times New Roman" w:hAnsi="Times New Roman"/>
          <w:color w:val="000000"/>
          <w:sz w:val="24"/>
          <w:szCs w:val="24"/>
          <w:lang w:val="uk-UA"/>
        </w:rPr>
        <w:tab/>
      </w:r>
      <w:r w:rsidRPr="001D24B1">
        <w:rPr>
          <w:rFonts w:ascii="Times New Roman" w:hAnsi="Times New Roman"/>
          <w:color w:val="000000"/>
          <w:sz w:val="24"/>
          <w:szCs w:val="24"/>
          <w:lang w:val="uk-UA"/>
        </w:rPr>
        <w:tab/>
        <w:t xml:space="preserve"> </w:t>
      </w:r>
    </w:p>
    <w:sectPr w:rsidR="00322B58" w:rsidRPr="001D24B1" w:rsidSect="000A04A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121"/>
    <w:multiLevelType w:val="hybridMultilevel"/>
    <w:tmpl w:val="4364D4E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20157515"/>
    <w:multiLevelType w:val="hybridMultilevel"/>
    <w:tmpl w:val="3CFAA85E"/>
    <w:lvl w:ilvl="0" w:tplc="04E4F2D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3105BCA"/>
    <w:multiLevelType w:val="hybridMultilevel"/>
    <w:tmpl w:val="3A7E5F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6E3EEF"/>
    <w:multiLevelType w:val="hybridMultilevel"/>
    <w:tmpl w:val="B2F02A56"/>
    <w:lvl w:ilvl="0" w:tplc="23609B6A">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47B5733"/>
    <w:multiLevelType w:val="hybridMultilevel"/>
    <w:tmpl w:val="2E6423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BD4DEF"/>
    <w:multiLevelType w:val="hybridMultilevel"/>
    <w:tmpl w:val="91002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0B639C"/>
    <w:multiLevelType w:val="hybridMultilevel"/>
    <w:tmpl w:val="2E302E18"/>
    <w:lvl w:ilvl="0" w:tplc="C85E314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33D6FE5"/>
    <w:multiLevelType w:val="hybridMultilevel"/>
    <w:tmpl w:val="6422C5C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6B7363FC"/>
    <w:multiLevelType w:val="hybridMultilevel"/>
    <w:tmpl w:val="7F80B5C2"/>
    <w:lvl w:ilvl="0" w:tplc="04190005">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hint="default"/>
      </w:rPr>
    </w:lvl>
    <w:lvl w:ilvl="8" w:tplc="04190005" w:tentative="1">
      <w:start w:val="1"/>
      <w:numFmt w:val="bullet"/>
      <w:lvlText w:val=""/>
      <w:lvlJc w:val="left"/>
      <w:pPr>
        <w:ind w:left="8244"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4"/>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916"/>
    <w:rsid w:val="000028A1"/>
    <w:rsid w:val="00020916"/>
    <w:rsid w:val="00023DB6"/>
    <w:rsid w:val="00035CE4"/>
    <w:rsid w:val="00041931"/>
    <w:rsid w:val="000543E9"/>
    <w:rsid w:val="000659A0"/>
    <w:rsid w:val="0007494A"/>
    <w:rsid w:val="000777D7"/>
    <w:rsid w:val="000A04A4"/>
    <w:rsid w:val="000A23C0"/>
    <w:rsid w:val="000A2FBF"/>
    <w:rsid w:val="000A7CCC"/>
    <w:rsid w:val="000B0427"/>
    <w:rsid w:val="000B1263"/>
    <w:rsid w:val="000C5ABD"/>
    <w:rsid w:val="000D7C9E"/>
    <w:rsid w:val="000E73EC"/>
    <w:rsid w:val="000F21AC"/>
    <w:rsid w:val="0011304A"/>
    <w:rsid w:val="00116A7D"/>
    <w:rsid w:val="00134C19"/>
    <w:rsid w:val="001703FD"/>
    <w:rsid w:val="001852EB"/>
    <w:rsid w:val="001960E2"/>
    <w:rsid w:val="001A116F"/>
    <w:rsid w:val="001A5626"/>
    <w:rsid w:val="001B3039"/>
    <w:rsid w:val="001B3342"/>
    <w:rsid w:val="001C3D4B"/>
    <w:rsid w:val="001C5083"/>
    <w:rsid w:val="001C7FFB"/>
    <w:rsid w:val="001D24B1"/>
    <w:rsid w:val="001F657A"/>
    <w:rsid w:val="00200E64"/>
    <w:rsid w:val="00225CDC"/>
    <w:rsid w:val="00251D07"/>
    <w:rsid w:val="00254458"/>
    <w:rsid w:val="00255440"/>
    <w:rsid w:val="00256FA6"/>
    <w:rsid w:val="00265271"/>
    <w:rsid w:val="00273149"/>
    <w:rsid w:val="00281D61"/>
    <w:rsid w:val="002A73D9"/>
    <w:rsid w:val="002B0CBD"/>
    <w:rsid w:val="002B22E1"/>
    <w:rsid w:val="003068AC"/>
    <w:rsid w:val="00311A2D"/>
    <w:rsid w:val="00322B58"/>
    <w:rsid w:val="0034132D"/>
    <w:rsid w:val="00345E79"/>
    <w:rsid w:val="00372D96"/>
    <w:rsid w:val="003863A5"/>
    <w:rsid w:val="00392192"/>
    <w:rsid w:val="003A090E"/>
    <w:rsid w:val="003B0C76"/>
    <w:rsid w:val="003B288F"/>
    <w:rsid w:val="003B73D6"/>
    <w:rsid w:val="003D521E"/>
    <w:rsid w:val="003F1B2C"/>
    <w:rsid w:val="003F1FC9"/>
    <w:rsid w:val="0040509D"/>
    <w:rsid w:val="0044609F"/>
    <w:rsid w:val="00471625"/>
    <w:rsid w:val="004919B2"/>
    <w:rsid w:val="00493DAA"/>
    <w:rsid w:val="004B23BE"/>
    <w:rsid w:val="004B2402"/>
    <w:rsid w:val="004D5BAC"/>
    <w:rsid w:val="00500EC9"/>
    <w:rsid w:val="00502B0D"/>
    <w:rsid w:val="00537A4B"/>
    <w:rsid w:val="0057544B"/>
    <w:rsid w:val="005828FA"/>
    <w:rsid w:val="00586068"/>
    <w:rsid w:val="005A639F"/>
    <w:rsid w:val="005D724F"/>
    <w:rsid w:val="005E1764"/>
    <w:rsid w:val="005F56DB"/>
    <w:rsid w:val="005F5D89"/>
    <w:rsid w:val="005F6A96"/>
    <w:rsid w:val="00624B35"/>
    <w:rsid w:val="0065538D"/>
    <w:rsid w:val="00666223"/>
    <w:rsid w:val="00676702"/>
    <w:rsid w:val="006A171C"/>
    <w:rsid w:val="006E6B12"/>
    <w:rsid w:val="006F66AD"/>
    <w:rsid w:val="007505D0"/>
    <w:rsid w:val="00751E72"/>
    <w:rsid w:val="00783CCF"/>
    <w:rsid w:val="00784990"/>
    <w:rsid w:val="007867C2"/>
    <w:rsid w:val="007A10C0"/>
    <w:rsid w:val="007A795B"/>
    <w:rsid w:val="007B2A05"/>
    <w:rsid w:val="007C47AE"/>
    <w:rsid w:val="007F391E"/>
    <w:rsid w:val="007F5939"/>
    <w:rsid w:val="007F6DD3"/>
    <w:rsid w:val="00826854"/>
    <w:rsid w:val="00842C7E"/>
    <w:rsid w:val="008512FA"/>
    <w:rsid w:val="00854AFF"/>
    <w:rsid w:val="00877F63"/>
    <w:rsid w:val="00882A38"/>
    <w:rsid w:val="0088774F"/>
    <w:rsid w:val="0089678A"/>
    <w:rsid w:val="008A1220"/>
    <w:rsid w:val="008C24DE"/>
    <w:rsid w:val="008E0600"/>
    <w:rsid w:val="008E1EA8"/>
    <w:rsid w:val="008F15BB"/>
    <w:rsid w:val="009151FA"/>
    <w:rsid w:val="00915759"/>
    <w:rsid w:val="00922254"/>
    <w:rsid w:val="009260D9"/>
    <w:rsid w:val="009376E5"/>
    <w:rsid w:val="009414AE"/>
    <w:rsid w:val="009510C8"/>
    <w:rsid w:val="0099140C"/>
    <w:rsid w:val="00991C26"/>
    <w:rsid w:val="009B34A4"/>
    <w:rsid w:val="009C705F"/>
    <w:rsid w:val="00A0612C"/>
    <w:rsid w:val="00A10476"/>
    <w:rsid w:val="00A276B5"/>
    <w:rsid w:val="00A379DE"/>
    <w:rsid w:val="00A37DE5"/>
    <w:rsid w:val="00A4439D"/>
    <w:rsid w:val="00A54888"/>
    <w:rsid w:val="00A55CD4"/>
    <w:rsid w:val="00A6121C"/>
    <w:rsid w:val="00A655CC"/>
    <w:rsid w:val="00A754C4"/>
    <w:rsid w:val="00A916F5"/>
    <w:rsid w:val="00A97567"/>
    <w:rsid w:val="00AA4B1D"/>
    <w:rsid w:val="00AB7920"/>
    <w:rsid w:val="00AE436E"/>
    <w:rsid w:val="00AF24C8"/>
    <w:rsid w:val="00B008E0"/>
    <w:rsid w:val="00B012DB"/>
    <w:rsid w:val="00B1556A"/>
    <w:rsid w:val="00B321E6"/>
    <w:rsid w:val="00B413DC"/>
    <w:rsid w:val="00B43949"/>
    <w:rsid w:val="00B65551"/>
    <w:rsid w:val="00B80A0F"/>
    <w:rsid w:val="00B81286"/>
    <w:rsid w:val="00B86636"/>
    <w:rsid w:val="00B87610"/>
    <w:rsid w:val="00B95F56"/>
    <w:rsid w:val="00B96B42"/>
    <w:rsid w:val="00BA1576"/>
    <w:rsid w:val="00BB4937"/>
    <w:rsid w:val="00BD3E43"/>
    <w:rsid w:val="00BD4D5C"/>
    <w:rsid w:val="00BD5B6A"/>
    <w:rsid w:val="00BE0C0B"/>
    <w:rsid w:val="00BE31FD"/>
    <w:rsid w:val="00BE7BB8"/>
    <w:rsid w:val="00C26791"/>
    <w:rsid w:val="00C33F96"/>
    <w:rsid w:val="00C4011C"/>
    <w:rsid w:val="00C43EE6"/>
    <w:rsid w:val="00C46999"/>
    <w:rsid w:val="00C93A19"/>
    <w:rsid w:val="00C94DB5"/>
    <w:rsid w:val="00CA2EC7"/>
    <w:rsid w:val="00CC252D"/>
    <w:rsid w:val="00CC5EC0"/>
    <w:rsid w:val="00D078ED"/>
    <w:rsid w:val="00D216EC"/>
    <w:rsid w:val="00D229B4"/>
    <w:rsid w:val="00D4428B"/>
    <w:rsid w:val="00D745D5"/>
    <w:rsid w:val="00D80E88"/>
    <w:rsid w:val="00D938E6"/>
    <w:rsid w:val="00DB1040"/>
    <w:rsid w:val="00DC10FF"/>
    <w:rsid w:val="00DC21C7"/>
    <w:rsid w:val="00DF1673"/>
    <w:rsid w:val="00DF1D7A"/>
    <w:rsid w:val="00DF4404"/>
    <w:rsid w:val="00DF4CF0"/>
    <w:rsid w:val="00DF606D"/>
    <w:rsid w:val="00DF62C8"/>
    <w:rsid w:val="00DF6A67"/>
    <w:rsid w:val="00DF76F3"/>
    <w:rsid w:val="00E1230C"/>
    <w:rsid w:val="00E2186A"/>
    <w:rsid w:val="00E33CAF"/>
    <w:rsid w:val="00E43067"/>
    <w:rsid w:val="00E44090"/>
    <w:rsid w:val="00E67C00"/>
    <w:rsid w:val="00EA76AF"/>
    <w:rsid w:val="00EB42D0"/>
    <w:rsid w:val="00ED0900"/>
    <w:rsid w:val="00EF6755"/>
    <w:rsid w:val="00EF6EC0"/>
    <w:rsid w:val="00F06CD2"/>
    <w:rsid w:val="00F10B2D"/>
    <w:rsid w:val="00F27236"/>
    <w:rsid w:val="00F41698"/>
    <w:rsid w:val="00F50EDC"/>
    <w:rsid w:val="00F54E28"/>
    <w:rsid w:val="00F646A6"/>
    <w:rsid w:val="00F71074"/>
    <w:rsid w:val="00F81633"/>
    <w:rsid w:val="00F82447"/>
    <w:rsid w:val="00F94309"/>
    <w:rsid w:val="00F96FBA"/>
    <w:rsid w:val="00FA573E"/>
    <w:rsid w:val="00FB75B7"/>
    <w:rsid w:val="00FC58CA"/>
    <w:rsid w:val="00FD3F66"/>
    <w:rsid w:val="00FD3F87"/>
    <w:rsid w:val="00FD7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3D4B"/>
    <w:pPr>
      <w:ind w:left="720"/>
      <w:contextualSpacing/>
    </w:pPr>
  </w:style>
  <w:style w:type="paragraph" w:styleId="Title">
    <w:name w:val="Title"/>
    <w:basedOn w:val="Normal"/>
    <w:link w:val="TitleChar"/>
    <w:uiPriority w:val="99"/>
    <w:qFormat/>
    <w:rsid w:val="00DF1673"/>
    <w:pPr>
      <w:spacing w:after="0" w:line="240" w:lineRule="auto"/>
      <w:jc w:val="center"/>
    </w:pPr>
    <w:rPr>
      <w:rFonts w:ascii="Times New Roman" w:eastAsia="Times New Roman" w:hAnsi="Times New Roman"/>
      <w:b/>
      <w:sz w:val="32"/>
      <w:szCs w:val="20"/>
      <w:lang w:val="uk-UA" w:eastAsia="ru-RU"/>
    </w:rPr>
  </w:style>
  <w:style w:type="character" w:customStyle="1" w:styleId="TitleChar">
    <w:name w:val="Title Char"/>
    <w:basedOn w:val="DefaultParagraphFont"/>
    <w:link w:val="Title"/>
    <w:uiPriority w:val="99"/>
    <w:locked/>
    <w:rsid w:val="00DF1673"/>
    <w:rPr>
      <w:rFonts w:ascii="Times New Roman" w:hAnsi="Times New Roman" w:cs="Times New Roman"/>
      <w:b/>
      <w:sz w:val="20"/>
      <w:szCs w:val="20"/>
      <w:lang w:val="uk-UA" w:eastAsia="ru-RU"/>
    </w:rPr>
  </w:style>
  <w:style w:type="paragraph" w:customStyle="1" w:styleId="a">
    <w:name w:val="Знак Знак Знак Знак Знак"/>
    <w:basedOn w:val="Normal"/>
    <w:uiPriority w:val="99"/>
    <w:rsid w:val="00DF1673"/>
    <w:pPr>
      <w:spacing w:after="0" w:line="240" w:lineRule="auto"/>
    </w:pPr>
    <w:rPr>
      <w:rFonts w:ascii="Verdana" w:eastAsia="Times New Roman" w:hAnsi="Verdana" w:cs="Verdana"/>
      <w:sz w:val="20"/>
      <w:szCs w:val="20"/>
      <w:lang w:val="en-US"/>
    </w:rPr>
  </w:style>
  <w:style w:type="paragraph" w:styleId="PlainText">
    <w:name w:val="Plain Text"/>
    <w:basedOn w:val="Normal"/>
    <w:link w:val="PlainTextChar"/>
    <w:uiPriority w:val="99"/>
    <w:rsid w:val="00134C19"/>
    <w:pPr>
      <w:spacing w:after="0" w:line="240" w:lineRule="auto"/>
    </w:pPr>
    <w:rPr>
      <w:rFonts w:ascii="Courier New" w:eastAsia="Times New Roman" w:hAnsi="Courier New" w:cs="Courier New"/>
      <w:sz w:val="20"/>
      <w:szCs w:val="20"/>
      <w:lang w:val="uk-UA" w:eastAsia="ru-RU"/>
    </w:rPr>
  </w:style>
  <w:style w:type="character" w:customStyle="1" w:styleId="PlainTextChar">
    <w:name w:val="Plain Text Char"/>
    <w:basedOn w:val="DefaultParagraphFont"/>
    <w:link w:val="PlainText"/>
    <w:uiPriority w:val="99"/>
    <w:locked/>
    <w:rsid w:val="00134C19"/>
    <w:rPr>
      <w:rFonts w:ascii="Courier New" w:hAnsi="Courier New" w:cs="Courier New"/>
      <w:sz w:val="20"/>
      <w:szCs w:val="20"/>
      <w:lang w:val="uk-UA" w:eastAsia="ru-RU"/>
    </w:rPr>
  </w:style>
  <w:style w:type="paragraph" w:styleId="BalloonText">
    <w:name w:val="Balloon Text"/>
    <w:basedOn w:val="Normal"/>
    <w:link w:val="BalloonTextChar"/>
    <w:uiPriority w:val="99"/>
    <w:semiHidden/>
    <w:rsid w:val="009B3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373114">
      <w:marLeft w:val="0"/>
      <w:marRight w:val="0"/>
      <w:marTop w:val="0"/>
      <w:marBottom w:val="0"/>
      <w:divBdr>
        <w:top w:val="none" w:sz="0" w:space="0" w:color="auto"/>
        <w:left w:val="none" w:sz="0" w:space="0" w:color="auto"/>
        <w:bottom w:val="none" w:sz="0" w:space="0" w:color="auto"/>
        <w:right w:val="none" w:sz="0" w:space="0" w:color="auto"/>
      </w:divBdr>
    </w:div>
    <w:div w:id="544373115">
      <w:marLeft w:val="0"/>
      <w:marRight w:val="0"/>
      <w:marTop w:val="0"/>
      <w:marBottom w:val="0"/>
      <w:divBdr>
        <w:top w:val="none" w:sz="0" w:space="0" w:color="auto"/>
        <w:left w:val="none" w:sz="0" w:space="0" w:color="auto"/>
        <w:bottom w:val="none" w:sz="0" w:space="0" w:color="auto"/>
        <w:right w:val="none" w:sz="0" w:space="0" w:color="auto"/>
      </w:divBdr>
    </w:div>
    <w:div w:id="544373116">
      <w:marLeft w:val="0"/>
      <w:marRight w:val="0"/>
      <w:marTop w:val="0"/>
      <w:marBottom w:val="0"/>
      <w:divBdr>
        <w:top w:val="none" w:sz="0" w:space="0" w:color="auto"/>
        <w:left w:val="none" w:sz="0" w:space="0" w:color="auto"/>
        <w:bottom w:val="none" w:sz="0" w:space="0" w:color="auto"/>
        <w:right w:val="none" w:sz="0" w:space="0" w:color="auto"/>
      </w:divBdr>
    </w:div>
    <w:div w:id="544373117">
      <w:marLeft w:val="0"/>
      <w:marRight w:val="0"/>
      <w:marTop w:val="0"/>
      <w:marBottom w:val="0"/>
      <w:divBdr>
        <w:top w:val="none" w:sz="0" w:space="0" w:color="auto"/>
        <w:left w:val="none" w:sz="0" w:space="0" w:color="auto"/>
        <w:bottom w:val="none" w:sz="0" w:space="0" w:color="auto"/>
        <w:right w:val="none" w:sz="0" w:space="0" w:color="auto"/>
      </w:divBdr>
    </w:div>
    <w:div w:id="544373118">
      <w:marLeft w:val="0"/>
      <w:marRight w:val="0"/>
      <w:marTop w:val="0"/>
      <w:marBottom w:val="0"/>
      <w:divBdr>
        <w:top w:val="none" w:sz="0" w:space="0" w:color="auto"/>
        <w:left w:val="none" w:sz="0" w:space="0" w:color="auto"/>
        <w:bottom w:val="none" w:sz="0" w:space="0" w:color="auto"/>
        <w:right w:val="none" w:sz="0" w:space="0" w:color="auto"/>
      </w:divBdr>
    </w:div>
    <w:div w:id="544373119">
      <w:marLeft w:val="0"/>
      <w:marRight w:val="0"/>
      <w:marTop w:val="0"/>
      <w:marBottom w:val="0"/>
      <w:divBdr>
        <w:top w:val="none" w:sz="0" w:space="0" w:color="auto"/>
        <w:left w:val="none" w:sz="0" w:space="0" w:color="auto"/>
        <w:bottom w:val="none" w:sz="0" w:space="0" w:color="auto"/>
        <w:right w:val="none" w:sz="0" w:space="0" w:color="auto"/>
      </w:divBdr>
    </w:div>
    <w:div w:id="544373120">
      <w:marLeft w:val="0"/>
      <w:marRight w:val="0"/>
      <w:marTop w:val="0"/>
      <w:marBottom w:val="0"/>
      <w:divBdr>
        <w:top w:val="none" w:sz="0" w:space="0" w:color="auto"/>
        <w:left w:val="none" w:sz="0" w:space="0" w:color="auto"/>
        <w:bottom w:val="none" w:sz="0" w:space="0" w:color="auto"/>
        <w:right w:val="none" w:sz="0" w:space="0" w:color="auto"/>
      </w:divBdr>
    </w:div>
    <w:div w:id="544373121">
      <w:marLeft w:val="0"/>
      <w:marRight w:val="0"/>
      <w:marTop w:val="0"/>
      <w:marBottom w:val="0"/>
      <w:divBdr>
        <w:top w:val="none" w:sz="0" w:space="0" w:color="auto"/>
        <w:left w:val="none" w:sz="0" w:space="0" w:color="auto"/>
        <w:bottom w:val="none" w:sz="0" w:space="0" w:color="auto"/>
        <w:right w:val="none" w:sz="0" w:space="0" w:color="auto"/>
      </w:divBdr>
    </w:div>
    <w:div w:id="544373122">
      <w:marLeft w:val="0"/>
      <w:marRight w:val="0"/>
      <w:marTop w:val="0"/>
      <w:marBottom w:val="0"/>
      <w:divBdr>
        <w:top w:val="none" w:sz="0" w:space="0" w:color="auto"/>
        <w:left w:val="none" w:sz="0" w:space="0" w:color="auto"/>
        <w:bottom w:val="none" w:sz="0" w:space="0" w:color="auto"/>
        <w:right w:val="none" w:sz="0" w:space="0" w:color="auto"/>
      </w:divBdr>
    </w:div>
    <w:div w:id="544373123">
      <w:marLeft w:val="0"/>
      <w:marRight w:val="0"/>
      <w:marTop w:val="0"/>
      <w:marBottom w:val="0"/>
      <w:divBdr>
        <w:top w:val="none" w:sz="0" w:space="0" w:color="auto"/>
        <w:left w:val="none" w:sz="0" w:space="0" w:color="auto"/>
        <w:bottom w:val="none" w:sz="0" w:space="0" w:color="auto"/>
        <w:right w:val="none" w:sz="0" w:space="0" w:color="auto"/>
      </w:divBdr>
    </w:div>
    <w:div w:id="544373124">
      <w:marLeft w:val="0"/>
      <w:marRight w:val="0"/>
      <w:marTop w:val="0"/>
      <w:marBottom w:val="0"/>
      <w:divBdr>
        <w:top w:val="none" w:sz="0" w:space="0" w:color="auto"/>
        <w:left w:val="none" w:sz="0" w:space="0" w:color="auto"/>
        <w:bottom w:val="none" w:sz="0" w:space="0" w:color="auto"/>
        <w:right w:val="none" w:sz="0" w:space="0" w:color="auto"/>
      </w:divBdr>
    </w:div>
    <w:div w:id="544373125">
      <w:marLeft w:val="0"/>
      <w:marRight w:val="0"/>
      <w:marTop w:val="0"/>
      <w:marBottom w:val="0"/>
      <w:divBdr>
        <w:top w:val="none" w:sz="0" w:space="0" w:color="auto"/>
        <w:left w:val="none" w:sz="0" w:space="0" w:color="auto"/>
        <w:bottom w:val="none" w:sz="0" w:space="0" w:color="auto"/>
        <w:right w:val="none" w:sz="0" w:space="0" w:color="auto"/>
      </w:divBdr>
    </w:div>
    <w:div w:id="544373126">
      <w:marLeft w:val="0"/>
      <w:marRight w:val="0"/>
      <w:marTop w:val="0"/>
      <w:marBottom w:val="0"/>
      <w:divBdr>
        <w:top w:val="none" w:sz="0" w:space="0" w:color="auto"/>
        <w:left w:val="none" w:sz="0" w:space="0" w:color="auto"/>
        <w:bottom w:val="none" w:sz="0" w:space="0" w:color="auto"/>
        <w:right w:val="none" w:sz="0" w:space="0" w:color="auto"/>
      </w:divBdr>
    </w:div>
    <w:div w:id="544373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1730</TotalTime>
  <Pages>12</Pages>
  <Words>4263</Words>
  <Characters>24302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81</cp:revision>
  <cp:lastPrinted>2017-04-20T13:36:00Z</cp:lastPrinted>
  <dcterms:created xsi:type="dcterms:W3CDTF">2012-01-04T21:01:00Z</dcterms:created>
  <dcterms:modified xsi:type="dcterms:W3CDTF">2018-03-12T03:35:00Z</dcterms:modified>
</cp:coreProperties>
</file>